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069C" w:rsidRPr="00572BF7" w:rsidRDefault="0075069C" w:rsidP="006272FF">
      <w:pPr>
        <w:pStyle w:val="aff2"/>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t>
      </w:r>
      <w:r w:rsidR="00336F59" w:rsidRPr="0004538C">
        <w:t xml:space="preserve">WG4 Meeting </w:t>
      </w:r>
      <w:r w:rsidR="00336F59" w:rsidRPr="00FA639F">
        <w:t>#</w:t>
      </w:r>
      <w:r w:rsidR="00336F59" w:rsidRPr="007C4C4E">
        <w:t>1</w:t>
      </w:r>
      <w:r w:rsidR="00C85AA1">
        <w:t>10-bis</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3C4E5D">
        <w:rPr>
          <w:rFonts w:eastAsia="宋体"/>
          <w:lang w:eastAsia="zh-CN"/>
        </w:rPr>
        <w:t xml:space="preserve">      </w:t>
      </w:r>
      <w:r w:rsidR="00AE16DB">
        <w:rPr>
          <w:rFonts w:eastAsia="宋体"/>
          <w:lang w:eastAsia="zh-CN"/>
        </w:rPr>
        <w:t xml:space="preserve"> </w:t>
      </w:r>
      <w:r w:rsidR="00294AE1" w:rsidRPr="00294AE1">
        <w:t>R4-240548</w:t>
      </w:r>
      <w:r w:rsidR="00294AE1">
        <w:t>8</w:t>
      </w:r>
      <w:bookmarkStart w:id="2" w:name="_GoBack"/>
      <w:bookmarkEnd w:id="2"/>
    </w:p>
    <w:p w:rsidR="00675C27" w:rsidRPr="00444A16" w:rsidRDefault="00C85AA1" w:rsidP="006272FF">
      <w:pPr>
        <w:pStyle w:val="aff2"/>
        <w:jc w:val="both"/>
        <w:rPr>
          <w:rFonts w:eastAsia="宋体"/>
          <w:lang w:eastAsia="zh-CN"/>
        </w:rPr>
      </w:pPr>
      <w:r w:rsidRPr="00C85AA1">
        <w:rPr>
          <w:rFonts w:eastAsia="宋体"/>
          <w:lang w:eastAsia="zh-CN"/>
        </w:rPr>
        <w:t>Changsha, China, April 15 – 19, 2024</w:t>
      </w:r>
    </w:p>
    <w:p w:rsidR="00F71A33" w:rsidRPr="00F71A33" w:rsidRDefault="00F71A33" w:rsidP="006272FF">
      <w:pPr>
        <w:pStyle w:val="aff2"/>
        <w:jc w:val="both"/>
        <w:rPr>
          <w:rFonts w:eastAsia="宋体"/>
          <w:lang w:eastAsia="zh-CN"/>
        </w:rPr>
      </w:pPr>
    </w:p>
    <w:p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C03A3">
        <w:rPr>
          <w:rFonts w:ascii="Arial" w:hAnsi="Arial" w:cs="Arial"/>
          <w:sz w:val="22"/>
        </w:rPr>
        <w:t xml:space="preserve">Consideration on </w:t>
      </w:r>
      <w:r w:rsidR="00251B01">
        <w:rPr>
          <w:rFonts w:ascii="Arial" w:hAnsi="Arial" w:cs="Arial"/>
          <w:sz w:val="22"/>
        </w:rPr>
        <w:t>BS</w:t>
      </w:r>
      <w:r w:rsidR="00A9522D">
        <w:rPr>
          <w:rFonts w:ascii="Arial" w:hAnsi="Arial" w:cs="Arial"/>
          <w:sz w:val="22"/>
        </w:rPr>
        <w:t xml:space="preserve"> </w:t>
      </w:r>
      <w:r w:rsidR="009C03A3">
        <w:rPr>
          <w:rFonts w:ascii="Arial" w:hAnsi="Arial" w:cs="Arial"/>
          <w:sz w:val="22"/>
        </w:rPr>
        <w:t>RF aspects for Rel-19 LP-WUS/WUR</w:t>
      </w:r>
    </w:p>
    <w:p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3D00E9">
        <w:rPr>
          <w:rFonts w:ascii="Arial" w:hAnsi="Arial" w:cs="Arial"/>
          <w:sz w:val="22"/>
        </w:rPr>
        <w:t>9.14.3</w:t>
      </w:r>
    </w:p>
    <w:p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E82175">
        <w:rPr>
          <w:rFonts w:ascii="Arial" w:hAnsi="Arial" w:cs="Arial"/>
          <w:sz w:val="22"/>
        </w:rPr>
        <w:t>Approval</w:t>
      </w:r>
    </w:p>
    <w:bookmarkEnd w:id="0"/>
    <w:bookmarkEnd w:id="1"/>
    <w:p w:rsidR="00AD4188" w:rsidRDefault="00062E8E" w:rsidP="006272FF">
      <w:pPr>
        <w:pStyle w:val="1"/>
        <w:spacing w:after="240"/>
        <w:jc w:val="both"/>
        <w:rPr>
          <w:rFonts w:eastAsia="宋体"/>
          <w:lang w:eastAsia="zh-CN"/>
        </w:rPr>
      </w:pPr>
      <w:r>
        <w:rPr>
          <w:rFonts w:eastAsia="宋体" w:hint="eastAsia"/>
          <w:lang w:eastAsia="zh-CN"/>
        </w:rPr>
        <w:t>Introduction</w:t>
      </w:r>
    </w:p>
    <w:p w:rsidR="00B9629D" w:rsidRDefault="00B9629D" w:rsidP="006272FF">
      <w:pPr>
        <w:jc w:val="both"/>
      </w:pPr>
      <w:r>
        <w:t xml:space="preserve">A </w:t>
      </w:r>
      <w:r w:rsidR="00355387">
        <w:t xml:space="preserve">revised WID with </w:t>
      </w:r>
      <w:r w:rsidR="00DC13F1">
        <w:t>updated objectives for RAN4 part</w:t>
      </w:r>
      <w:r>
        <w:t xml:space="preserve"> was agreed in last RAN meeting [1]</w:t>
      </w:r>
      <w:r w:rsidR="00040DA4">
        <w:t>. This meeting is the first RAN4 meeting to discussion Rel-19 RAN4 related aspects for LP-WUS/WUR. Following objectives are copied from the WID:</w:t>
      </w:r>
    </w:p>
    <w:tbl>
      <w:tblPr>
        <w:tblStyle w:val="aff"/>
        <w:tblW w:w="0" w:type="auto"/>
        <w:tblLook w:val="04A0" w:firstRow="1" w:lastRow="0" w:firstColumn="1" w:lastColumn="0" w:noHBand="0" w:noVBand="1"/>
      </w:tblPr>
      <w:tblGrid>
        <w:gridCol w:w="9631"/>
      </w:tblGrid>
      <w:tr w:rsidR="00040DA4" w:rsidTr="00040DA4">
        <w:tc>
          <w:tcPr>
            <w:tcW w:w="9631" w:type="dxa"/>
          </w:tcPr>
          <w:p w:rsidR="00040DA4" w:rsidRPr="00300E45" w:rsidRDefault="00040DA4" w:rsidP="00040DA4">
            <w:pPr>
              <w:numPr>
                <w:ilvl w:val="0"/>
                <w:numId w:val="45"/>
              </w:numPr>
              <w:tabs>
                <w:tab w:val="left" w:pos="720"/>
              </w:tabs>
              <w:snapToGrid w:val="0"/>
              <w:spacing w:after="0"/>
              <w:ind w:leftChars="55" w:left="467" w:hanging="357"/>
              <w:jc w:val="both"/>
              <w:rPr>
                <w:bCs/>
                <w:lang w:val="en-US"/>
              </w:rPr>
            </w:pPr>
            <w:r w:rsidRPr="00300E45">
              <w:rPr>
                <w:bCs/>
                <w:lang w:val="en-US" w:bidi="ar"/>
              </w:rPr>
              <w:t xml:space="preserve">To specify an LP-WUS design commonly applicable to both IDLE/INACTIVE and CONNECTED modes (RAN1, </w:t>
            </w:r>
            <w:r w:rsidRPr="00DB6C26">
              <w:rPr>
                <w:bCs/>
                <w:highlight w:val="yellow"/>
                <w:lang w:val="en-US" w:bidi="ar"/>
              </w:rPr>
              <w:t>RAN4</w:t>
            </w:r>
            <w:r w:rsidRPr="00300E45">
              <w:rPr>
                <w:bCs/>
                <w:lang w:val="en-US" w:bidi="ar"/>
              </w:rPr>
              <w:t>)</w:t>
            </w:r>
          </w:p>
          <w:p w:rsidR="00040DA4" w:rsidRPr="00300E45" w:rsidRDefault="00040DA4" w:rsidP="00040DA4">
            <w:pPr>
              <w:numPr>
                <w:ilvl w:val="1"/>
                <w:numId w:val="45"/>
              </w:numPr>
              <w:tabs>
                <w:tab w:val="left" w:pos="1440"/>
              </w:tabs>
              <w:snapToGrid w:val="0"/>
              <w:spacing w:after="0"/>
              <w:ind w:leftChars="414" w:left="1185" w:hanging="357"/>
              <w:jc w:val="both"/>
              <w:rPr>
                <w:bCs/>
                <w:lang w:val="en-US"/>
              </w:rPr>
            </w:pPr>
            <w:r w:rsidRPr="00300E45">
              <w:rPr>
                <w:bCs/>
                <w:lang w:val="en-US" w:bidi="ar"/>
              </w:rPr>
              <w:t xml:space="preserve">Specify OOK (OOK-1 and/or OOK-4) based LP-WUS with </w:t>
            </w:r>
            <w:r w:rsidRPr="00300E45">
              <w:t>overlaid OFDM sequence(s) over OOK symbol</w:t>
            </w:r>
          </w:p>
          <w:p w:rsidR="00040DA4" w:rsidRPr="00860D33" w:rsidRDefault="00040DA4" w:rsidP="00040DA4">
            <w:pPr>
              <w:numPr>
                <w:ilvl w:val="2"/>
                <w:numId w:val="45"/>
              </w:numPr>
              <w:tabs>
                <w:tab w:val="left" w:pos="2160"/>
              </w:tabs>
              <w:snapToGrid w:val="0"/>
              <w:spacing w:after="0"/>
              <w:ind w:leftChars="774" w:left="1905" w:hanging="357"/>
              <w:jc w:val="both"/>
              <w:rPr>
                <w:bCs/>
                <w:color w:val="000000"/>
                <w:lang w:val="en-US"/>
              </w:rPr>
            </w:pPr>
            <w:r w:rsidRPr="00300E45">
              <w:rPr>
                <w:rFonts w:hint="eastAsia"/>
                <w:bCs/>
                <w:color w:val="000000"/>
                <w:lang w:val="en-US"/>
              </w:rPr>
              <w:t>T</w:t>
            </w:r>
            <w:r w:rsidRPr="00300E45">
              <w:rPr>
                <w:bCs/>
                <w:color w:val="000000"/>
                <w:lang w:val="en-US"/>
              </w:rPr>
              <w:t>he LP-WUS design shall ensure that for IDLE/INACTIVE operation, the same information is delivered irrespective of LP-WUR type</w:t>
            </w:r>
            <w:r>
              <w:rPr>
                <w:bCs/>
                <w:color w:val="000000"/>
                <w:lang w:val="en-US"/>
              </w:rPr>
              <w:t xml:space="preserve">. </w:t>
            </w:r>
            <w:r w:rsidRPr="00860D33">
              <w:rPr>
                <w:rFonts w:hint="eastAsia"/>
                <w:bCs/>
                <w:color w:val="000000"/>
                <w:lang w:val="en-US"/>
              </w:rPr>
              <w:t>The OFDM sequence c</w:t>
            </w:r>
            <w:r w:rsidRPr="00860D33">
              <w:rPr>
                <w:bCs/>
                <w:color w:val="000000"/>
                <w:lang w:val="en-US"/>
              </w:rPr>
              <w:t>a</w:t>
            </w:r>
            <w:r w:rsidRPr="00860D33">
              <w:rPr>
                <w:rFonts w:hint="eastAsia"/>
                <w:bCs/>
                <w:color w:val="000000"/>
                <w:lang w:val="en-US"/>
              </w:rPr>
              <w:t>n carry information.</w:t>
            </w:r>
          </w:p>
          <w:p w:rsidR="00040DA4" w:rsidRPr="00886B23" w:rsidRDefault="00040DA4" w:rsidP="00040DA4">
            <w:pPr>
              <w:numPr>
                <w:ilvl w:val="1"/>
                <w:numId w:val="45"/>
              </w:numPr>
              <w:tabs>
                <w:tab w:val="left" w:pos="1440"/>
              </w:tabs>
              <w:snapToGrid w:val="0"/>
              <w:spacing w:after="0"/>
              <w:ind w:leftChars="414" w:left="1185" w:hanging="357"/>
              <w:jc w:val="both"/>
              <w:rPr>
                <w:bCs/>
                <w:lang w:val="en-US"/>
              </w:rPr>
            </w:pPr>
            <w:r w:rsidRPr="00886B23">
              <w:rPr>
                <w:bCs/>
                <w:lang w:val="en-US" w:bidi="ar"/>
              </w:rPr>
              <w:t>At least duty-cycled monitoring of LP-WUS is supported</w:t>
            </w:r>
          </w:p>
          <w:p w:rsidR="00040DA4" w:rsidRPr="00886B23" w:rsidRDefault="00040DA4" w:rsidP="00040DA4">
            <w:pPr>
              <w:numPr>
                <w:ilvl w:val="0"/>
                <w:numId w:val="45"/>
              </w:numPr>
              <w:tabs>
                <w:tab w:val="left" w:pos="720"/>
              </w:tabs>
              <w:snapToGrid w:val="0"/>
              <w:spacing w:after="0"/>
              <w:ind w:leftChars="55" w:left="467" w:hanging="357"/>
              <w:jc w:val="both"/>
              <w:rPr>
                <w:bCs/>
                <w:lang w:val="en-US"/>
              </w:rPr>
            </w:pPr>
            <w:r w:rsidRPr="00886B23">
              <w:rPr>
                <w:bCs/>
                <w:lang w:val="en-US" w:bidi="ar"/>
              </w:rPr>
              <w:t>For IDLE/INACTIVE modes</w:t>
            </w:r>
          </w:p>
          <w:p w:rsidR="00040DA4" w:rsidRPr="00860D33" w:rsidRDefault="00040DA4" w:rsidP="00040DA4">
            <w:pPr>
              <w:numPr>
                <w:ilvl w:val="1"/>
                <w:numId w:val="45"/>
              </w:numPr>
              <w:tabs>
                <w:tab w:val="left" w:pos="1440"/>
              </w:tabs>
              <w:snapToGrid w:val="0"/>
              <w:spacing w:after="0"/>
              <w:ind w:leftChars="414" w:left="1185" w:hanging="357"/>
              <w:jc w:val="both"/>
              <w:rPr>
                <w:bCs/>
                <w:lang w:val="en-US" w:bidi="ar"/>
              </w:rPr>
            </w:pPr>
            <w:r w:rsidRPr="00886B23">
              <w:rPr>
                <w:bCs/>
                <w:lang w:val="en-US" w:bidi="ar"/>
              </w:rPr>
              <w:t xml:space="preserve">Specify procedure and configuration of LP-WUS indicating paging </w:t>
            </w:r>
            <w:r>
              <w:rPr>
                <w:bCs/>
                <w:lang w:val="en-US" w:bidi="ar"/>
              </w:rPr>
              <w:t xml:space="preserve">monitoring </w:t>
            </w:r>
            <w:r w:rsidRPr="00886B23">
              <w:rPr>
                <w:bCs/>
                <w:lang w:val="en-US" w:bidi="ar"/>
              </w:rPr>
              <w:t xml:space="preserve">triggered by LP-WUS, including at least configuration, sub-grouping and entry/exit condition for LP-WUS </w:t>
            </w:r>
            <w:r w:rsidRPr="00860D33">
              <w:rPr>
                <w:bCs/>
                <w:lang w:val="en-US" w:bidi="ar"/>
              </w:rPr>
              <w:t>monitoring</w:t>
            </w:r>
            <w:r>
              <w:rPr>
                <w:bCs/>
                <w:lang w:val="en-US" w:bidi="ar"/>
              </w:rPr>
              <w:t xml:space="preserve"> </w:t>
            </w:r>
            <w:r w:rsidRPr="00860D33">
              <w:rPr>
                <w:rFonts w:hint="eastAsia"/>
                <w:bCs/>
                <w:lang w:val="en-US" w:bidi="ar"/>
              </w:rPr>
              <w:t xml:space="preserve">(RAN2, </w:t>
            </w:r>
            <w:r w:rsidRPr="00860D33">
              <w:rPr>
                <w:bCs/>
                <w:lang w:val="en-US" w:bidi="ar"/>
              </w:rPr>
              <w:t>R</w:t>
            </w:r>
            <w:r w:rsidRPr="00860D33">
              <w:rPr>
                <w:rFonts w:hint="eastAsia"/>
                <w:bCs/>
                <w:lang w:val="en-US" w:bidi="ar"/>
              </w:rPr>
              <w:t>AN1,</w:t>
            </w:r>
            <w:r>
              <w:rPr>
                <w:bCs/>
                <w:lang w:val="en-US" w:bidi="ar"/>
              </w:rPr>
              <w:t xml:space="preserve"> </w:t>
            </w:r>
            <w:r w:rsidRPr="00860D33">
              <w:rPr>
                <w:rFonts w:hint="eastAsia"/>
                <w:bCs/>
                <w:lang w:val="en-US" w:bidi="ar"/>
              </w:rPr>
              <w:t xml:space="preserve">RAN3, </w:t>
            </w:r>
            <w:r w:rsidRPr="00DB6C26">
              <w:rPr>
                <w:rFonts w:hint="eastAsia"/>
                <w:bCs/>
                <w:highlight w:val="yellow"/>
                <w:lang w:val="en-US" w:bidi="ar"/>
              </w:rPr>
              <w:t>RAN4</w:t>
            </w:r>
            <w:r w:rsidRPr="00860D33">
              <w:rPr>
                <w:rFonts w:hint="eastAsia"/>
                <w:bCs/>
                <w:lang w:val="en-US" w:bidi="ar"/>
              </w:rPr>
              <w:t>)</w:t>
            </w:r>
          </w:p>
          <w:p w:rsidR="00040DA4" w:rsidRPr="00860D33" w:rsidRDefault="00040DA4" w:rsidP="00040DA4">
            <w:pPr>
              <w:numPr>
                <w:ilvl w:val="1"/>
                <w:numId w:val="45"/>
              </w:numPr>
              <w:tabs>
                <w:tab w:val="left" w:pos="1440"/>
              </w:tabs>
              <w:snapToGrid w:val="0"/>
              <w:spacing w:after="0"/>
              <w:ind w:leftChars="414" w:left="1185" w:hanging="357"/>
              <w:jc w:val="both"/>
              <w:rPr>
                <w:bCs/>
                <w:lang w:val="en-US"/>
              </w:rPr>
            </w:pPr>
            <w:r w:rsidRPr="00860D33">
              <w:rPr>
                <w:bCs/>
                <w:lang w:val="en-US" w:bidi="ar"/>
              </w:rPr>
              <w:t xml:space="preserve">Specify LP-SS with periodicity with </w:t>
            </w:r>
            <w:proofErr w:type="spellStart"/>
            <w:r w:rsidRPr="00860D33">
              <w:rPr>
                <w:bCs/>
                <w:lang w:val="en-US" w:bidi="ar"/>
              </w:rPr>
              <w:t>Yms</w:t>
            </w:r>
            <w:proofErr w:type="spellEnd"/>
            <w:r w:rsidRPr="00860D33">
              <w:rPr>
                <w:bCs/>
                <w:lang w:val="en-US" w:bidi="ar"/>
              </w:rPr>
              <w:t xml:space="preserve"> for LP-WUR, for synchronization and/or RRM for serving cell. (RAN1, </w:t>
            </w:r>
            <w:r w:rsidRPr="00DB6C26">
              <w:rPr>
                <w:bCs/>
                <w:highlight w:val="yellow"/>
                <w:lang w:val="en-US" w:bidi="ar"/>
              </w:rPr>
              <w:t>RAN4</w:t>
            </w:r>
            <w:r w:rsidRPr="00860D33">
              <w:rPr>
                <w:bCs/>
                <w:lang w:val="en-US" w:bidi="ar"/>
              </w:rPr>
              <w:t>)</w:t>
            </w:r>
          </w:p>
          <w:p w:rsidR="00040DA4" w:rsidRPr="00886B23" w:rsidRDefault="00040DA4" w:rsidP="00040DA4">
            <w:pPr>
              <w:numPr>
                <w:ilvl w:val="2"/>
                <w:numId w:val="45"/>
              </w:numPr>
              <w:tabs>
                <w:tab w:val="left" w:pos="2160"/>
              </w:tabs>
              <w:snapToGrid w:val="0"/>
              <w:spacing w:after="0"/>
              <w:ind w:leftChars="774" w:left="1905" w:hanging="357"/>
              <w:jc w:val="both"/>
              <w:rPr>
                <w:bCs/>
                <w:lang w:val="en-US"/>
              </w:rPr>
            </w:pPr>
            <w:r w:rsidRPr="00886B23">
              <w:rPr>
                <w:bCs/>
                <w:lang w:val="en-US" w:bidi="ar"/>
              </w:rPr>
              <w:t>LP-SS is based on OOK-1 and/or OOK-4 waveform with or without overlaid OFDM sequences. Further down selection between with and without overlaid OFDM sequences is to be done within WI.</w:t>
            </w:r>
          </w:p>
          <w:p w:rsidR="00040DA4" w:rsidRPr="00886B23" w:rsidRDefault="00040DA4" w:rsidP="00040DA4">
            <w:pPr>
              <w:numPr>
                <w:ilvl w:val="2"/>
                <w:numId w:val="45"/>
              </w:numPr>
              <w:tabs>
                <w:tab w:val="left" w:pos="2160"/>
              </w:tabs>
              <w:snapToGrid w:val="0"/>
              <w:spacing w:after="0"/>
              <w:ind w:leftChars="774" w:left="1905" w:hanging="357"/>
              <w:jc w:val="both"/>
              <w:rPr>
                <w:bCs/>
                <w:color w:val="000000"/>
                <w:lang w:val="en-US" w:bidi="ar"/>
              </w:rPr>
            </w:pPr>
            <w:r w:rsidRPr="00886B23">
              <w:rPr>
                <w:bCs/>
                <w:color w:val="000000"/>
                <w:lang w:val="en-US" w:bidi="ar"/>
              </w:rPr>
              <w:t>Note: For LP-WUR that can receive existing PSS/SSS, existing PSS/SSS can be used for synchronization and RRM instead of LP-SS.</w:t>
            </w:r>
          </w:p>
          <w:p w:rsidR="00040DA4" w:rsidRPr="00886B23" w:rsidRDefault="00040DA4" w:rsidP="00040DA4">
            <w:pPr>
              <w:numPr>
                <w:ilvl w:val="2"/>
                <w:numId w:val="45"/>
              </w:numPr>
              <w:tabs>
                <w:tab w:val="left" w:pos="2160"/>
              </w:tabs>
              <w:snapToGrid w:val="0"/>
              <w:spacing w:after="0"/>
              <w:ind w:leftChars="774" w:left="1905" w:hanging="357"/>
              <w:jc w:val="both"/>
              <w:rPr>
                <w:bCs/>
                <w:lang w:val="en-US" w:bidi="ar"/>
              </w:rPr>
            </w:pPr>
            <w:r w:rsidRPr="00886B23">
              <w:rPr>
                <w:bCs/>
                <w:lang w:val="en-US" w:bidi="ar"/>
              </w:rPr>
              <w:t>Y will be decided within WI. 320ms is the start point.</w:t>
            </w:r>
          </w:p>
          <w:p w:rsidR="00040DA4" w:rsidRPr="00886B23" w:rsidRDefault="00040DA4" w:rsidP="00040DA4">
            <w:pPr>
              <w:numPr>
                <w:ilvl w:val="1"/>
                <w:numId w:val="45"/>
              </w:numPr>
              <w:tabs>
                <w:tab w:val="left" w:pos="1440"/>
              </w:tabs>
              <w:snapToGrid w:val="0"/>
              <w:spacing w:after="0"/>
              <w:ind w:leftChars="414" w:left="1185" w:hanging="357"/>
              <w:jc w:val="both"/>
              <w:rPr>
                <w:bCs/>
                <w:lang w:val="en-US"/>
              </w:rPr>
            </w:pPr>
            <w:r w:rsidRPr="00886B23">
              <w:rPr>
                <w:bCs/>
                <w:lang w:val="en-US" w:bidi="ar"/>
              </w:rPr>
              <w:t>Specify further RRM relaxation of UE MR for both serving and neighbor cell measurements, and UE serving cell RRM measurement offloaded from MR to LP-WUR, including the necessary conditions (RAN4, RAN2)</w:t>
            </w:r>
          </w:p>
          <w:p w:rsidR="00040DA4" w:rsidRPr="00886B23" w:rsidRDefault="00040DA4" w:rsidP="00040DA4">
            <w:pPr>
              <w:numPr>
                <w:ilvl w:val="0"/>
                <w:numId w:val="45"/>
              </w:numPr>
              <w:tabs>
                <w:tab w:val="left" w:pos="720"/>
              </w:tabs>
              <w:snapToGrid w:val="0"/>
              <w:spacing w:after="0"/>
              <w:ind w:leftChars="55" w:left="467" w:hanging="357"/>
              <w:jc w:val="both"/>
              <w:rPr>
                <w:bCs/>
                <w:lang w:val="en-US"/>
              </w:rPr>
            </w:pPr>
            <w:r w:rsidRPr="00886B23">
              <w:rPr>
                <w:bCs/>
                <w:lang w:val="en-US" w:bidi="ar"/>
              </w:rPr>
              <w:t>For CONNECTED mode, specify procedures to allow UE MR PDCCH monitoring triggered by LP-WUS including activation and deactivation procedure of LP-WUS monitoring</w:t>
            </w:r>
            <w:r>
              <w:rPr>
                <w:bCs/>
                <w:lang w:val="en-US" w:bidi="ar"/>
              </w:rPr>
              <w:t xml:space="preserve"> </w:t>
            </w:r>
            <w:r w:rsidRPr="00886B23">
              <w:rPr>
                <w:bCs/>
                <w:lang w:val="en-US" w:bidi="ar"/>
              </w:rPr>
              <w:t>(RAN2, RAN1)</w:t>
            </w:r>
          </w:p>
          <w:p w:rsidR="00040DA4" w:rsidRDefault="00040DA4" w:rsidP="00040DA4">
            <w:pPr>
              <w:numPr>
                <w:ilvl w:val="1"/>
                <w:numId w:val="45"/>
              </w:numPr>
              <w:tabs>
                <w:tab w:val="left" w:pos="1440"/>
              </w:tabs>
              <w:snapToGrid w:val="0"/>
              <w:spacing w:after="0"/>
              <w:ind w:leftChars="414" w:left="1185" w:hanging="357"/>
              <w:jc w:val="both"/>
              <w:rPr>
                <w:bCs/>
                <w:lang w:val="en-US"/>
              </w:rPr>
            </w:pPr>
            <w:r>
              <w:rPr>
                <w:bCs/>
                <w:lang w:val="en-US"/>
              </w:rPr>
              <w:t>Check in RAN#105 for potential TU adjustment in RAN2</w:t>
            </w:r>
            <w:r w:rsidR="000C5EB8">
              <w:rPr>
                <w:bCs/>
                <w:lang w:val="en-US"/>
              </w:rPr>
              <w:t xml:space="preserve"> </w:t>
            </w:r>
          </w:p>
          <w:p w:rsidR="00040DA4" w:rsidRPr="00886B23" w:rsidRDefault="00040DA4" w:rsidP="00040DA4">
            <w:pPr>
              <w:numPr>
                <w:ilvl w:val="1"/>
                <w:numId w:val="45"/>
              </w:numPr>
              <w:tabs>
                <w:tab w:val="left" w:pos="1440"/>
              </w:tabs>
              <w:snapToGrid w:val="0"/>
              <w:spacing w:after="0"/>
              <w:ind w:leftChars="414" w:left="1185" w:hanging="357"/>
              <w:jc w:val="both"/>
              <w:rPr>
                <w:bCs/>
                <w:lang w:val="en-US"/>
              </w:rPr>
            </w:pPr>
            <w:r w:rsidRPr="00886B23">
              <w:rPr>
                <w:bCs/>
                <w:lang w:val="en-US" w:bidi="ar"/>
              </w:rPr>
              <w:t>Note: In CONNECTED mode, UE MR ultra-deep sleep is not considered, and UE RRM/RLM/BFD/CSI measurements are performed by MR</w:t>
            </w:r>
          </w:p>
          <w:p w:rsidR="00040DA4" w:rsidRPr="00886B23" w:rsidRDefault="00040DA4" w:rsidP="00040DA4">
            <w:pPr>
              <w:numPr>
                <w:ilvl w:val="0"/>
                <w:numId w:val="45"/>
              </w:numPr>
              <w:tabs>
                <w:tab w:val="left" w:pos="1440"/>
              </w:tabs>
              <w:snapToGrid w:val="0"/>
              <w:spacing w:after="0"/>
              <w:ind w:leftChars="55" w:left="467" w:hanging="357"/>
              <w:jc w:val="both"/>
              <w:rPr>
                <w:bCs/>
                <w:lang w:val="en-US"/>
              </w:rPr>
            </w:pPr>
            <w:r w:rsidRPr="00886B23">
              <w:rPr>
                <w:bCs/>
                <w:lang w:val="en-US" w:bidi="ar"/>
              </w:rPr>
              <w:t>Note: The target coverage of LP-WUS and LP-SS shall be the coverage of PUSCH for message3.</w:t>
            </w:r>
          </w:p>
          <w:p w:rsidR="00040DA4" w:rsidRPr="00860D33" w:rsidRDefault="00040DA4" w:rsidP="00040DA4">
            <w:pPr>
              <w:numPr>
                <w:ilvl w:val="0"/>
                <w:numId w:val="45"/>
              </w:numPr>
              <w:tabs>
                <w:tab w:val="left" w:pos="1440"/>
              </w:tabs>
              <w:snapToGrid w:val="0"/>
              <w:spacing w:after="0"/>
              <w:ind w:leftChars="55" w:left="467" w:hanging="357"/>
              <w:jc w:val="both"/>
              <w:rPr>
                <w:bCs/>
                <w:lang w:val="en-US"/>
              </w:rPr>
            </w:pPr>
            <w:r w:rsidRPr="00886B23">
              <w:rPr>
                <w:bCs/>
                <w:lang w:val="en-US"/>
              </w:rPr>
              <w:t xml:space="preserve">Note: The optimization of LP-WUS signal design for idle/inactive mode is prioritized over the optimization for </w:t>
            </w:r>
            <w:r w:rsidRPr="00860D33">
              <w:rPr>
                <w:bCs/>
                <w:lang w:val="en-US"/>
              </w:rPr>
              <w:t>connected mode.</w:t>
            </w:r>
          </w:p>
          <w:p w:rsidR="00040DA4" w:rsidRPr="00DB6C26" w:rsidRDefault="00040DA4" w:rsidP="00040DA4">
            <w:pPr>
              <w:numPr>
                <w:ilvl w:val="0"/>
                <w:numId w:val="45"/>
              </w:numPr>
              <w:tabs>
                <w:tab w:val="left" w:pos="720"/>
              </w:tabs>
              <w:snapToGrid w:val="0"/>
              <w:spacing w:after="0"/>
              <w:ind w:leftChars="55" w:left="467" w:hanging="357"/>
              <w:jc w:val="both"/>
              <w:rPr>
                <w:bCs/>
                <w:highlight w:val="yellow"/>
                <w:lang w:val="en-US"/>
              </w:rPr>
            </w:pPr>
            <w:r w:rsidRPr="00DB6C26">
              <w:rPr>
                <w:rFonts w:hint="eastAsia"/>
                <w:bCs/>
                <w:highlight w:val="yellow"/>
                <w:lang w:val="en-US"/>
              </w:rPr>
              <w:t>Specify the necessary RAN4 core requirement(s) to support the feature (RAN4).</w:t>
            </w:r>
          </w:p>
          <w:p w:rsidR="00040DA4" w:rsidRDefault="00040DA4" w:rsidP="00040DA4">
            <w:pPr>
              <w:numPr>
                <w:ilvl w:val="1"/>
                <w:numId w:val="45"/>
              </w:numPr>
              <w:tabs>
                <w:tab w:val="left" w:pos="1440"/>
              </w:tabs>
              <w:snapToGrid w:val="0"/>
              <w:spacing w:after="0"/>
              <w:ind w:leftChars="414" w:left="1185" w:hanging="357"/>
              <w:jc w:val="both"/>
              <w:rPr>
                <w:bCs/>
                <w:lang w:val="en-US"/>
              </w:rPr>
            </w:pPr>
            <w:bookmarkStart w:id="3" w:name="OLE_LINK1"/>
            <w:r w:rsidRPr="00A46C6F">
              <w:rPr>
                <w:bCs/>
                <w:lang w:val="en-US"/>
              </w:rPr>
              <w:t xml:space="preserve">Specify </w:t>
            </w:r>
            <w:r>
              <w:rPr>
                <w:bCs/>
                <w:lang w:val="en-US"/>
              </w:rPr>
              <w:t>UE low-power wake-up receiver requirements</w:t>
            </w:r>
            <w:r>
              <w:rPr>
                <w:rFonts w:hint="eastAsia"/>
                <w:bCs/>
                <w:lang w:val="en-US"/>
              </w:rPr>
              <w:t>,</w:t>
            </w:r>
            <w:r>
              <w:rPr>
                <w:bCs/>
                <w:lang w:val="en-US"/>
              </w:rPr>
              <w:t xml:space="preserve"> at least </w:t>
            </w:r>
            <w:r w:rsidRPr="00A46C6F">
              <w:rPr>
                <w:bCs/>
                <w:lang w:val="en-US"/>
              </w:rPr>
              <w:t>REFSENS, ACS and ASCS requirements with consideration of possible new methodology</w:t>
            </w:r>
            <w:r>
              <w:rPr>
                <w:bCs/>
                <w:lang w:val="en-US"/>
              </w:rPr>
              <w:t xml:space="preserve"> to assess the </w:t>
            </w:r>
            <w:bookmarkEnd w:id="3"/>
            <w:r>
              <w:rPr>
                <w:bCs/>
                <w:lang w:val="en-US"/>
              </w:rPr>
              <w:t>low-power wake-up receiver performance</w:t>
            </w:r>
          </w:p>
          <w:p w:rsidR="00040DA4" w:rsidRDefault="00040DA4" w:rsidP="00040DA4">
            <w:pPr>
              <w:numPr>
                <w:ilvl w:val="2"/>
                <w:numId w:val="45"/>
              </w:numPr>
              <w:tabs>
                <w:tab w:val="left" w:pos="2160"/>
              </w:tabs>
              <w:snapToGrid w:val="0"/>
              <w:spacing w:after="0"/>
              <w:ind w:leftChars="774" w:left="1905" w:hanging="357"/>
              <w:jc w:val="both"/>
              <w:rPr>
                <w:bCs/>
                <w:lang w:val="en-US" w:bidi="ar"/>
              </w:rPr>
            </w:pPr>
            <w:r>
              <w:rPr>
                <w:bCs/>
                <w:lang w:val="en-US" w:bidi="ar"/>
              </w:rPr>
              <w:t xml:space="preserve">Define </w:t>
            </w:r>
            <w:r w:rsidRPr="000664E0">
              <w:rPr>
                <w:bCs/>
                <w:lang w:val="en-US" w:bidi="ar"/>
              </w:rPr>
              <w:t>guard RBs for ACS and ASCS cases</w:t>
            </w:r>
          </w:p>
          <w:p w:rsidR="00040DA4" w:rsidRDefault="00040DA4" w:rsidP="00040DA4">
            <w:pPr>
              <w:numPr>
                <w:ilvl w:val="2"/>
                <w:numId w:val="45"/>
              </w:numPr>
              <w:tabs>
                <w:tab w:val="left" w:pos="2160"/>
              </w:tabs>
              <w:snapToGrid w:val="0"/>
              <w:spacing w:after="0"/>
              <w:ind w:leftChars="774" w:left="1905" w:hanging="357"/>
              <w:jc w:val="both"/>
              <w:rPr>
                <w:bCs/>
                <w:lang w:val="en-US" w:bidi="ar"/>
              </w:rPr>
            </w:pPr>
            <w:r>
              <w:rPr>
                <w:bCs/>
                <w:lang w:val="en-US" w:bidi="ar"/>
              </w:rPr>
              <w:t>Study testability of above requirements</w:t>
            </w:r>
          </w:p>
          <w:p w:rsidR="00040DA4" w:rsidRPr="00194611" w:rsidRDefault="00040DA4" w:rsidP="00040DA4">
            <w:pPr>
              <w:numPr>
                <w:ilvl w:val="2"/>
                <w:numId w:val="45"/>
              </w:numPr>
              <w:tabs>
                <w:tab w:val="left" w:pos="2160"/>
              </w:tabs>
              <w:snapToGrid w:val="0"/>
              <w:spacing w:after="0"/>
              <w:ind w:leftChars="774" w:left="1905" w:hanging="357"/>
              <w:jc w:val="both"/>
              <w:rPr>
                <w:bCs/>
                <w:lang w:val="en-US" w:bidi="ar"/>
              </w:rPr>
            </w:pPr>
            <w:r>
              <w:rPr>
                <w:bCs/>
                <w:lang w:val="en-US" w:bidi="ar"/>
              </w:rPr>
              <w:t>Consider i</w:t>
            </w:r>
            <w:r w:rsidRPr="00324ABE">
              <w:rPr>
                <w:bCs/>
                <w:lang w:val="en-US" w:bidi="ar"/>
              </w:rPr>
              <w:t>mpacts of different architecture</w:t>
            </w:r>
            <w:r>
              <w:rPr>
                <w:bCs/>
                <w:lang w:val="en-US" w:bidi="ar"/>
              </w:rPr>
              <w:t xml:space="preserve"> and </w:t>
            </w:r>
            <w:r w:rsidRPr="00324ABE">
              <w:rPr>
                <w:bCs/>
                <w:lang w:val="en-US" w:bidi="ar"/>
              </w:rPr>
              <w:t>impairments</w:t>
            </w:r>
            <w:r>
              <w:rPr>
                <w:bCs/>
                <w:lang w:val="en-US" w:bidi="ar"/>
              </w:rPr>
              <w:t xml:space="preserve">, </w:t>
            </w:r>
            <w:r w:rsidRPr="00040DA4">
              <w:rPr>
                <w:rFonts w:hint="eastAsia"/>
                <w:bCs/>
                <w:lang w:val="en-US" w:bidi="ar"/>
              </w:rPr>
              <w:t>and set requirements that enable all types of reasonable implementation</w:t>
            </w:r>
            <w:r w:rsidRPr="00194611" w:rsidDel="00250836">
              <w:rPr>
                <w:bCs/>
                <w:lang w:val="en-US" w:bidi="ar"/>
              </w:rPr>
              <w:t xml:space="preserve"> </w:t>
            </w:r>
          </w:p>
          <w:p w:rsidR="00040DA4" w:rsidRPr="00576F41" w:rsidRDefault="00040DA4" w:rsidP="00040DA4">
            <w:pPr>
              <w:numPr>
                <w:ilvl w:val="1"/>
                <w:numId w:val="45"/>
              </w:numPr>
              <w:tabs>
                <w:tab w:val="left" w:pos="1440"/>
              </w:tabs>
              <w:snapToGrid w:val="0"/>
              <w:spacing w:after="0"/>
              <w:ind w:leftChars="414" w:left="1185" w:hanging="357"/>
              <w:jc w:val="both"/>
              <w:rPr>
                <w:bCs/>
                <w:lang w:val="en-US"/>
              </w:rPr>
            </w:pPr>
            <w:r w:rsidRPr="00FD2D3F">
              <w:rPr>
                <w:bCs/>
                <w:color w:val="FF0000"/>
                <w:highlight w:val="yellow"/>
              </w:rPr>
              <w:t>Study and</w:t>
            </w:r>
            <w:r w:rsidRPr="00FD2D3F">
              <w:rPr>
                <w:color w:val="FF0000"/>
                <w:highlight w:val="yellow"/>
              </w:rPr>
              <w:t xml:space="preserve"> if necessary</w:t>
            </w:r>
            <w:r w:rsidRPr="00FD2D3F">
              <w:rPr>
                <w:bCs/>
                <w:color w:val="FF0000"/>
                <w:highlight w:val="yellow"/>
              </w:rPr>
              <w:t xml:space="preserve"> specify</w:t>
            </w:r>
            <w:r w:rsidRPr="00FD2D3F">
              <w:rPr>
                <w:color w:val="FF0000"/>
                <w:highlight w:val="yellow"/>
              </w:rPr>
              <w:t xml:space="preserve"> or support by declaration</w:t>
            </w:r>
            <w:r w:rsidRPr="00FD2D3F">
              <w:rPr>
                <w:bCs/>
                <w:color w:val="FF0000"/>
                <w:highlight w:val="yellow"/>
              </w:rPr>
              <w:t xml:space="preserve">, </w:t>
            </w:r>
            <w:r w:rsidRPr="00FD2D3F">
              <w:rPr>
                <w:color w:val="FF0000"/>
                <w:highlight w:val="yellow"/>
              </w:rPr>
              <w:t>the corresponding</w:t>
            </w:r>
            <w:r w:rsidRPr="00FD2D3F">
              <w:rPr>
                <w:bCs/>
                <w:color w:val="FF0000"/>
                <w:highlight w:val="yellow"/>
              </w:rPr>
              <w:t xml:space="preserve"> BS requirements, e.g., dynamic range for LP-WUS/LP-SS</w:t>
            </w:r>
            <w:r w:rsidRPr="00FD2D3F">
              <w:rPr>
                <w:color w:val="FF0000"/>
                <w:highlight w:val="yellow"/>
              </w:rPr>
              <w:t>.</w:t>
            </w:r>
            <w:r w:rsidRPr="00576F41">
              <w:t xml:space="preserve"> </w:t>
            </w:r>
          </w:p>
          <w:p w:rsidR="00040DA4" w:rsidRPr="008D6990" w:rsidRDefault="00040DA4" w:rsidP="00040DA4">
            <w:pPr>
              <w:numPr>
                <w:ilvl w:val="2"/>
                <w:numId w:val="45"/>
              </w:numPr>
              <w:tabs>
                <w:tab w:val="left" w:pos="2160"/>
              </w:tabs>
              <w:snapToGrid w:val="0"/>
              <w:spacing w:after="0"/>
              <w:ind w:leftChars="774" w:left="1905" w:hanging="357"/>
              <w:jc w:val="both"/>
              <w:rPr>
                <w:bCs/>
                <w:lang w:val="en-US"/>
              </w:rPr>
            </w:pPr>
            <w:r w:rsidRPr="00576F41">
              <w:t>C</w:t>
            </w:r>
            <w:r w:rsidRPr="00576F41">
              <w:rPr>
                <w:bCs/>
              </w:rPr>
              <w:t>urrent NR BS requirements is baseline</w:t>
            </w:r>
          </w:p>
          <w:p w:rsidR="00040DA4" w:rsidRDefault="00040DA4" w:rsidP="00040DA4">
            <w:pPr>
              <w:numPr>
                <w:ilvl w:val="1"/>
                <w:numId w:val="45"/>
              </w:numPr>
              <w:tabs>
                <w:tab w:val="left" w:pos="1440"/>
              </w:tabs>
              <w:snapToGrid w:val="0"/>
              <w:spacing w:after="0"/>
              <w:ind w:leftChars="414" w:left="1185" w:hanging="357"/>
              <w:jc w:val="both"/>
            </w:pPr>
            <w:r w:rsidRPr="00222F53">
              <w:rPr>
                <w:bCs/>
              </w:rPr>
              <w:t>Specify necessary RRM requirements</w:t>
            </w:r>
          </w:p>
        </w:tc>
      </w:tr>
    </w:tbl>
    <w:p w:rsidR="00040DA4" w:rsidRDefault="00040DA4" w:rsidP="006272FF">
      <w:pPr>
        <w:jc w:val="both"/>
      </w:pPr>
    </w:p>
    <w:p w:rsidR="009A089A" w:rsidRDefault="007E051B" w:rsidP="006272FF">
      <w:pPr>
        <w:jc w:val="both"/>
      </w:pPr>
      <w:r>
        <w:rPr>
          <w:lang w:val="x-none"/>
        </w:rPr>
        <w:lastRenderedPageBreak/>
        <w:t xml:space="preserve">RF part is mainly related to the last objective with consideration of RAN1 PHY design. </w:t>
      </w:r>
      <w:r w:rsidR="00B9629D">
        <w:rPr>
          <w:lang w:val="x-none"/>
        </w:rPr>
        <w:t xml:space="preserve">This contribution provides </w:t>
      </w:r>
      <w:r>
        <w:rPr>
          <w:lang w:val="x-none"/>
        </w:rPr>
        <w:t>our initial consideration for Rel-19 LP-WUS/WUR upon the study outcome in Rel-18 SI</w:t>
      </w:r>
      <w:r w:rsidR="009F3F38">
        <w:rPr>
          <w:lang w:val="x-none"/>
        </w:rPr>
        <w:t xml:space="preserve"> for</w:t>
      </w:r>
      <w:r>
        <w:rPr>
          <w:lang w:val="x-none"/>
        </w:rPr>
        <w:t xml:space="preserve"> </w:t>
      </w:r>
      <w:r w:rsidR="001873CB">
        <w:rPr>
          <w:lang w:val="x-none"/>
        </w:rPr>
        <w:t xml:space="preserve">the </w:t>
      </w:r>
      <w:r>
        <w:rPr>
          <w:lang w:val="x-none"/>
        </w:rPr>
        <w:t>BS part</w:t>
      </w:r>
      <w:r w:rsidR="00B9629D">
        <w:rPr>
          <w:lang w:val="x-none"/>
        </w:rPr>
        <w:t>.</w:t>
      </w:r>
    </w:p>
    <w:p w:rsidR="00062E8E" w:rsidRDefault="00062E8E" w:rsidP="006272FF">
      <w:pPr>
        <w:pStyle w:val="1"/>
        <w:spacing w:after="240"/>
        <w:jc w:val="both"/>
        <w:rPr>
          <w:rFonts w:eastAsia="宋体"/>
          <w:lang w:eastAsia="zh-CN"/>
        </w:rPr>
      </w:pPr>
      <w:r>
        <w:rPr>
          <w:rFonts w:eastAsia="宋体" w:hint="eastAsia"/>
          <w:lang w:eastAsia="zh-CN"/>
        </w:rPr>
        <w:t>Discussion</w:t>
      </w:r>
    </w:p>
    <w:p w:rsidR="004C1E28" w:rsidRDefault="004C1E28" w:rsidP="00F05AC0">
      <w:pPr>
        <w:pStyle w:val="2"/>
        <w:spacing w:after="240"/>
        <w:rPr>
          <w:rFonts w:eastAsiaTheme="minorEastAsia"/>
          <w:lang w:val="en-US" w:eastAsia="zh-CN"/>
        </w:rPr>
      </w:pPr>
      <w:r>
        <w:rPr>
          <w:rFonts w:eastAsiaTheme="minorEastAsia" w:hint="eastAsia"/>
          <w:lang w:val="en-US" w:eastAsia="zh-CN"/>
        </w:rPr>
        <w:t>O</w:t>
      </w:r>
      <w:r>
        <w:rPr>
          <w:rFonts w:eastAsiaTheme="minorEastAsia"/>
          <w:lang w:val="en-US" w:eastAsia="zh-CN"/>
        </w:rPr>
        <w:t>verview of Rel-18 SI</w:t>
      </w:r>
    </w:p>
    <w:p w:rsidR="006A6B00" w:rsidRDefault="006A6B00" w:rsidP="006A6B00">
      <w:pPr>
        <w:pStyle w:val="3"/>
      </w:pPr>
      <w:r>
        <w:rPr>
          <w:rFonts w:hint="eastAsia"/>
        </w:rPr>
        <w:t>W</w:t>
      </w:r>
      <w:r>
        <w:t>hat have been studied and discussed</w:t>
      </w:r>
    </w:p>
    <w:p w:rsidR="006A6B00" w:rsidRDefault="00FD2D3F" w:rsidP="006A6B00">
      <w:pPr>
        <w:rPr>
          <w:lang w:val="en-US"/>
        </w:rPr>
      </w:pPr>
      <w:r>
        <w:rPr>
          <w:rFonts w:hint="eastAsia"/>
          <w:lang w:val="en-US"/>
        </w:rPr>
        <w:t>T</w:t>
      </w:r>
      <w:r>
        <w:rPr>
          <w:lang w:val="en-US"/>
        </w:rPr>
        <w:t xml:space="preserve">he following part regarding the </w:t>
      </w:r>
      <w:proofErr w:type="spellStart"/>
      <w:r>
        <w:rPr>
          <w:lang w:val="en-US"/>
        </w:rPr>
        <w:t>gNodeB</w:t>
      </w:r>
      <w:proofErr w:type="spellEnd"/>
      <w:r>
        <w:rPr>
          <w:lang w:val="en-US"/>
        </w:rPr>
        <w:t xml:space="preserve"> RF impacts is cited from the SI TR [2]:</w:t>
      </w:r>
    </w:p>
    <w:p w:rsidR="00FD2D3F" w:rsidRPr="00FD2D3F" w:rsidRDefault="00FD2D3F" w:rsidP="00FD2D3F">
      <w:pPr>
        <w:jc w:val="both"/>
        <w:rPr>
          <w:i/>
        </w:rPr>
      </w:pPr>
      <w:r w:rsidRPr="00FD2D3F">
        <w:rPr>
          <w:i/>
        </w:rPr>
        <w:t xml:space="preserve">The power boosting of 3 dB or 6 dB of a WUS signal relative to the average power of a configured NR carrier can improve the WUS signal coverage. It is beneficial to enable the 3dB or 6 dB power boosting at the existing network. Therefore, RAN4 assumes to reuse the legacy RF specification as a starting point. Some company observed that 3 dB or 6 dB power boosting for a 24 RB WUS signal may not be feasible for some of deployed </w:t>
      </w:r>
      <w:proofErr w:type="spellStart"/>
      <w:r w:rsidRPr="00FD2D3F">
        <w:rPr>
          <w:i/>
        </w:rPr>
        <w:t>gNB</w:t>
      </w:r>
      <w:proofErr w:type="spellEnd"/>
      <w:r w:rsidRPr="00FD2D3F">
        <w:rPr>
          <w:i/>
        </w:rPr>
        <w:t xml:space="preserve"> </w:t>
      </w:r>
      <w:r w:rsidRPr="00FD2D3F">
        <w:rPr>
          <w:rStyle w:val="normaltextrun"/>
          <w:i/>
          <w:bdr w:val="none" w:sz="0" w:space="0" w:color="auto" w:frame="1"/>
        </w:rPr>
        <w:t>when average power is kept the same before and after power boosting</w:t>
      </w:r>
      <w:r w:rsidRPr="00FD2D3F">
        <w:rPr>
          <w:i/>
        </w:rPr>
        <w:t xml:space="preserve">. It is feasible to configure different PSD carriers in a multiple carrier configuration where WUS signal can be placed in a higher PSD carrier among all configured carriers. The amount of boosting is up to manufacturer declaration following the legacy manufacturer declaration. </w:t>
      </w:r>
    </w:p>
    <w:p w:rsidR="00FD2D3F" w:rsidRPr="00FD2D3F" w:rsidRDefault="00FD2D3F" w:rsidP="00FD2D3F">
      <w:pPr>
        <w:jc w:val="both"/>
        <w:rPr>
          <w:b/>
          <w:i/>
        </w:rPr>
      </w:pPr>
      <w:r w:rsidRPr="00FD2D3F">
        <w:rPr>
          <w:i/>
          <w:szCs w:val="24"/>
        </w:rPr>
        <w:t>BS manufacturer could declare if power boosting for WUS signal is supported and the boosting level in the range of [0] to [6] dB is considered. Final power boosting level and the condition of power boosting will be decided based on further analysis in WI phase.</w:t>
      </w:r>
    </w:p>
    <w:p w:rsidR="00FD2D3F" w:rsidRPr="00FD2D3F" w:rsidRDefault="00106C43" w:rsidP="000431DE">
      <w:pPr>
        <w:jc w:val="both"/>
      </w:pPr>
      <w:r>
        <w:rPr>
          <w:rFonts w:hint="eastAsia"/>
        </w:rPr>
        <w:t>T</w:t>
      </w:r>
      <w:r>
        <w:t xml:space="preserve">he main intention </w:t>
      </w:r>
      <w:r w:rsidR="000431DE">
        <w:t xml:space="preserve">of BS power boosting </w:t>
      </w:r>
      <w:r>
        <w:t xml:space="preserve">is for better LP-WUR coverage, as the NF for LP-WUR is expected large and consequently result in worse REFSENS, which makes it hard to maintenance the same coverage for LR as MR. </w:t>
      </w:r>
      <w:r w:rsidR="000431DE">
        <w:rPr>
          <w:rFonts w:hint="eastAsia"/>
        </w:rPr>
        <w:t>During</w:t>
      </w:r>
      <w:r w:rsidR="000431DE">
        <w:t xml:space="preserve"> the discussion, some companies worried about the power boosting due to concern for the </w:t>
      </w:r>
      <w:r w:rsidR="001929A8">
        <w:t xml:space="preserve">potential </w:t>
      </w:r>
      <w:r w:rsidR="000431DE">
        <w:t xml:space="preserve">impact on the legacy implementation, which is understandable, and it is the basic assumption in RAN4 </w:t>
      </w:r>
      <w:r w:rsidR="005022CC">
        <w:t xml:space="preserve">that legacy </w:t>
      </w:r>
      <w:proofErr w:type="spellStart"/>
      <w:r w:rsidR="005022CC">
        <w:t>gNB</w:t>
      </w:r>
      <w:proofErr w:type="spellEnd"/>
      <w:r w:rsidR="005022CC">
        <w:t xml:space="preserve"> implementation should be considered for LP-WUS</w:t>
      </w:r>
      <w:r w:rsidR="005022CC">
        <w:rPr>
          <w:rFonts w:hint="eastAsia"/>
        </w:rPr>
        <w:t>/</w:t>
      </w:r>
      <w:r w:rsidR="005022CC">
        <w:t xml:space="preserve">WUR for protection of operator’s huge investment for 5G. </w:t>
      </w:r>
    </w:p>
    <w:p w:rsidR="006A6B00" w:rsidRDefault="006A6B00" w:rsidP="006A6B00">
      <w:pPr>
        <w:pStyle w:val="3"/>
      </w:pPr>
      <w:r>
        <w:rPr>
          <w:rFonts w:hint="eastAsia"/>
        </w:rPr>
        <w:t>T</w:t>
      </w:r>
      <w:r>
        <w:t>o be further evaluated</w:t>
      </w:r>
    </w:p>
    <w:p w:rsidR="006A6B00" w:rsidRDefault="0099547B" w:rsidP="00650731">
      <w:pPr>
        <w:spacing w:after="120"/>
        <w:jc w:val="both"/>
        <w:rPr>
          <w:lang w:val="en-US"/>
        </w:rPr>
      </w:pPr>
      <w:r>
        <w:rPr>
          <w:rFonts w:hint="eastAsia"/>
          <w:lang w:val="en-US"/>
        </w:rPr>
        <w:t>A</w:t>
      </w:r>
      <w:r>
        <w:rPr>
          <w:lang w:val="en-US"/>
        </w:rPr>
        <w:t>ccording to the WID objective, a study phase is considered for BS part, mainly for the power boosting requirement.</w:t>
      </w:r>
    </w:p>
    <w:p w:rsidR="0099547B" w:rsidRPr="0099547B" w:rsidRDefault="0099547B" w:rsidP="00650731">
      <w:pPr>
        <w:numPr>
          <w:ilvl w:val="0"/>
          <w:numId w:val="45"/>
        </w:numPr>
        <w:tabs>
          <w:tab w:val="left" w:pos="1440"/>
        </w:tabs>
        <w:snapToGrid w:val="0"/>
        <w:spacing w:after="0"/>
        <w:jc w:val="both"/>
        <w:rPr>
          <w:bCs/>
          <w:lang w:val="en-US"/>
        </w:rPr>
      </w:pPr>
      <w:r w:rsidRPr="0099547B">
        <w:rPr>
          <w:bCs/>
        </w:rPr>
        <w:t>Study and</w:t>
      </w:r>
      <w:r w:rsidRPr="0099547B">
        <w:t xml:space="preserve"> if necessary</w:t>
      </w:r>
      <w:r w:rsidRPr="0099547B">
        <w:rPr>
          <w:bCs/>
        </w:rPr>
        <w:t xml:space="preserve"> specify</w:t>
      </w:r>
      <w:r w:rsidRPr="0099547B">
        <w:t xml:space="preserve"> or support by declaration</w:t>
      </w:r>
      <w:r w:rsidRPr="0099547B">
        <w:rPr>
          <w:bCs/>
        </w:rPr>
        <w:t xml:space="preserve">, </w:t>
      </w:r>
      <w:r w:rsidRPr="0099547B">
        <w:t>the corresponding</w:t>
      </w:r>
      <w:r w:rsidRPr="0099547B">
        <w:rPr>
          <w:bCs/>
        </w:rPr>
        <w:t xml:space="preserve"> BS requirements, e.g., dynamic range for LP-WUS/LP-SS</w:t>
      </w:r>
      <w:r w:rsidRPr="0099547B">
        <w:t xml:space="preserve">. </w:t>
      </w:r>
    </w:p>
    <w:p w:rsidR="0099547B" w:rsidRPr="006A6B00" w:rsidRDefault="00BC72CA" w:rsidP="00650731">
      <w:pPr>
        <w:spacing w:beforeLines="50" w:before="120"/>
        <w:jc w:val="both"/>
        <w:rPr>
          <w:lang w:val="en-US"/>
        </w:rPr>
      </w:pPr>
      <w:r>
        <w:rPr>
          <w:rFonts w:hint="eastAsia"/>
          <w:lang w:val="en-US"/>
        </w:rPr>
        <w:t>W</w:t>
      </w:r>
      <w:r>
        <w:rPr>
          <w:lang w:val="en-US"/>
        </w:rPr>
        <w:t xml:space="preserve">ith above objective, we feel the group should try to find a balanced point to improve the LP-WUS coverage for a better </w:t>
      </w:r>
      <w:proofErr w:type="spellStart"/>
      <w:r>
        <w:rPr>
          <w:lang w:val="en-US"/>
        </w:rPr>
        <w:t>gNB</w:t>
      </w:r>
      <w:proofErr w:type="spellEnd"/>
      <w:r>
        <w:rPr>
          <w:lang w:val="en-US"/>
        </w:rPr>
        <w:t xml:space="preserve"> implementation while not having impact to the legacy BS.</w:t>
      </w:r>
    </w:p>
    <w:p w:rsidR="004C1E28" w:rsidRDefault="004C1E28" w:rsidP="004C1E28">
      <w:pPr>
        <w:pStyle w:val="2"/>
        <w:spacing w:after="240"/>
        <w:rPr>
          <w:rFonts w:eastAsiaTheme="minorEastAsia"/>
          <w:lang w:val="en-US" w:eastAsia="zh-CN"/>
        </w:rPr>
      </w:pPr>
      <w:r>
        <w:rPr>
          <w:rFonts w:eastAsiaTheme="minorEastAsia" w:hint="eastAsia"/>
          <w:lang w:val="en-US" w:eastAsia="zh-CN"/>
        </w:rPr>
        <w:t>B</w:t>
      </w:r>
      <w:r>
        <w:rPr>
          <w:rFonts w:eastAsiaTheme="minorEastAsia"/>
          <w:lang w:val="en-US" w:eastAsia="zh-CN"/>
        </w:rPr>
        <w:t xml:space="preserve">S </w:t>
      </w:r>
      <w:r w:rsidR="00C56313">
        <w:rPr>
          <w:rFonts w:eastAsiaTheme="minorEastAsia"/>
          <w:lang w:val="en-US" w:eastAsia="zh-CN"/>
        </w:rPr>
        <w:t>RF</w:t>
      </w:r>
      <w:r w:rsidR="00251B01">
        <w:rPr>
          <w:rFonts w:eastAsiaTheme="minorEastAsia"/>
          <w:lang w:val="en-US" w:eastAsia="zh-CN"/>
        </w:rPr>
        <w:t xml:space="preserve"> requirements</w:t>
      </w:r>
    </w:p>
    <w:p w:rsidR="004C1E28" w:rsidRDefault="000E74C1" w:rsidP="00E6175B">
      <w:pPr>
        <w:pStyle w:val="3"/>
      </w:pPr>
      <w:r>
        <w:rPr>
          <w:rFonts w:hint="eastAsia"/>
        </w:rPr>
        <w:t>S</w:t>
      </w:r>
      <w:r>
        <w:t>imilar case for NB-IoT</w:t>
      </w:r>
    </w:p>
    <w:p w:rsidR="000E74C1" w:rsidRDefault="000E74C1" w:rsidP="000E74C1">
      <w:pPr>
        <w:jc w:val="both"/>
        <w:rPr>
          <w:lang w:val="en-US"/>
        </w:rPr>
      </w:pPr>
      <w:r>
        <w:rPr>
          <w:rFonts w:hint="eastAsia"/>
          <w:lang w:val="en-US"/>
        </w:rPr>
        <w:t>P</w:t>
      </w:r>
      <w:r>
        <w:rPr>
          <w:lang w:val="en-US"/>
        </w:rPr>
        <w:t xml:space="preserve">ower consumption is an important metric for LP-WUR design, hence the REFSENS for LP-WUR is foreseen that not as good as normal NR receiver. For CP-OFDM based waveform, LP-WUS can be considered as in-band operation which is similar to NB-IoT co-existed with NR. If output power of LP-WUS would be boosted for the in-band operation, it would be helpful to counter the worse REFSENS due to LP-WUR for a better coverage. </w:t>
      </w:r>
    </w:p>
    <w:p w:rsidR="000E74C1" w:rsidRDefault="000E74C1" w:rsidP="000E74C1">
      <w:pPr>
        <w:jc w:val="both"/>
        <w:rPr>
          <w:lang w:val="en-US"/>
        </w:rPr>
      </w:pPr>
      <w:r>
        <w:rPr>
          <w:rFonts w:hint="eastAsia"/>
          <w:lang w:val="en-US"/>
        </w:rPr>
        <w:t>A</w:t>
      </w:r>
      <w:r>
        <w:rPr>
          <w:lang w:val="en-US"/>
        </w:rPr>
        <w:t xml:space="preserve">s a reference, NB-IoT power boosting could be a starting point for study of LP-WUS dynamic range for the in-band operation scenario. Noted that the range of power boosting for NB-IoT is different for different NB-IoT RB frequency positions, that should also be considered during the study of LP-WUS when power enhancement is one potential direction to be considered. </w:t>
      </w:r>
    </w:p>
    <w:p w:rsidR="000E74C1" w:rsidRDefault="000E74C1" w:rsidP="000E74C1">
      <w:pPr>
        <w:jc w:val="both"/>
      </w:pPr>
      <w:r w:rsidRPr="00F95B02">
        <w:t>NB-IoT RB power dynamic range for NB-IoT operation in NR in-band</w:t>
      </w:r>
      <w:r>
        <w:t xml:space="preserve"> scenario can be found in TS 38.104 clause 6.3. The table below listed the requirement of NB-IoT RB power dynamic range for some channel BWs.</w:t>
      </w:r>
    </w:p>
    <w:p w:rsidR="000E74C1" w:rsidRDefault="000E74C1" w:rsidP="000E74C1">
      <w:pPr>
        <w:jc w:val="both"/>
      </w:pPr>
      <w:r>
        <w:t xml:space="preserve">During the study for NB-IoT, </w:t>
      </w:r>
      <w:r w:rsidR="00C278E9">
        <w:t xml:space="preserve">it is recognized that </w:t>
      </w:r>
      <w:r>
        <w:t xml:space="preserve">1 </w:t>
      </w:r>
      <w:r>
        <w:rPr>
          <w:rFonts w:hint="eastAsia"/>
        </w:rPr>
        <w:t>RB</w:t>
      </w:r>
      <w:r>
        <w:t xml:space="preserve"> NB-IoT inside the CBW is a typical case. </w:t>
      </w:r>
    </w:p>
    <w:p w:rsidR="000E74C1" w:rsidRDefault="000E74C1" w:rsidP="000E74C1">
      <w:pPr>
        <w:pStyle w:val="TH"/>
      </w:pPr>
      <w:r w:rsidRPr="00F95B02">
        <w:lastRenderedPageBreak/>
        <w:t>Table 6.3.4.2-1: NB-IoT RB power dynamic range for NB-IoT operation in NR in-band</w:t>
      </w:r>
    </w:p>
    <w:tbl>
      <w:tblPr>
        <w:tblStyle w:val="aff"/>
        <w:tblW w:w="0" w:type="auto"/>
        <w:jc w:val="center"/>
        <w:tblLayout w:type="fixed"/>
        <w:tblLook w:val="04A0" w:firstRow="1" w:lastRow="0" w:firstColumn="1" w:lastColumn="0" w:noHBand="0" w:noVBand="1"/>
      </w:tblPr>
      <w:tblGrid>
        <w:gridCol w:w="1720"/>
        <w:gridCol w:w="4678"/>
        <w:gridCol w:w="1860"/>
      </w:tblGrid>
      <w:tr w:rsidR="000E74C1" w:rsidTr="004D5110">
        <w:trPr>
          <w:cantSplit/>
          <w:jc w:val="center"/>
        </w:trPr>
        <w:tc>
          <w:tcPr>
            <w:tcW w:w="1720" w:type="dxa"/>
          </w:tcPr>
          <w:p w:rsidR="000E74C1" w:rsidRDefault="000E74C1" w:rsidP="004D5110">
            <w:pPr>
              <w:pStyle w:val="TAH"/>
            </w:pPr>
            <w:r w:rsidRPr="00F95B02">
              <w:t>BS channel bandwidth (MHz)</w:t>
            </w:r>
          </w:p>
        </w:tc>
        <w:tc>
          <w:tcPr>
            <w:tcW w:w="4678" w:type="dxa"/>
          </w:tcPr>
          <w:p w:rsidR="000E74C1" w:rsidRDefault="000E74C1" w:rsidP="004D5110">
            <w:pPr>
              <w:pStyle w:val="TAH"/>
            </w:pPr>
            <w:r w:rsidRPr="00F95B02">
              <w:t>NB-IoT RB frequency position</w:t>
            </w:r>
          </w:p>
        </w:tc>
        <w:tc>
          <w:tcPr>
            <w:tcW w:w="1860" w:type="dxa"/>
          </w:tcPr>
          <w:p w:rsidR="000E74C1" w:rsidRDefault="000E74C1" w:rsidP="004D5110">
            <w:pPr>
              <w:pStyle w:val="TAH"/>
            </w:pPr>
            <w:r w:rsidRPr="00F95B02">
              <w:t>NB-IoT RB power dynamic range (dB)</w:t>
            </w:r>
          </w:p>
        </w:tc>
      </w:tr>
      <w:tr w:rsidR="000E74C1" w:rsidTr="004D5110">
        <w:trPr>
          <w:cantSplit/>
          <w:jc w:val="center"/>
        </w:trPr>
        <w:tc>
          <w:tcPr>
            <w:tcW w:w="1720" w:type="dxa"/>
            <w:tcBorders>
              <w:bottom w:val="single" w:sz="4" w:space="0" w:color="auto"/>
            </w:tcBorders>
          </w:tcPr>
          <w:p w:rsidR="000E74C1" w:rsidRDefault="000E74C1" w:rsidP="004D5110">
            <w:pPr>
              <w:pStyle w:val="TAC"/>
            </w:pPr>
            <w:r w:rsidRPr="00F95B02">
              <w:t>5, 10</w:t>
            </w:r>
          </w:p>
        </w:tc>
        <w:tc>
          <w:tcPr>
            <w:tcW w:w="4678" w:type="dxa"/>
            <w:vAlign w:val="center"/>
          </w:tcPr>
          <w:p w:rsidR="000E74C1" w:rsidRDefault="000E74C1" w:rsidP="004D5110">
            <w:pPr>
              <w:pStyle w:val="TAC"/>
            </w:pPr>
            <w:r w:rsidRPr="00F95B02">
              <w:t>Any</w:t>
            </w:r>
          </w:p>
        </w:tc>
        <w:tc>
          <w:tcPr>
            <w:tcW w:w="1860" w:type="dxa"/>
            <w:vAlign w:val="center"/>
          </w:tcPr>
          <w:p w:rsidR="000E74C1" w:rsidRDefault="000E74C1" w:rsidP="004D5110">
            <w:pPr>
              <w:pStyle w:val="TAC"/>
            </w:pPr>
            <w:r w:rsidRPr="00F95B02">
              <w:t>+6</w:t>
            </w:r>
          </w:p>
        </w:tc>
      </w:tr>
      <w:tr w:rsidR="000E74C1" w:rsidTr="004D5110">
        <w:trPr>
          <w:cantSplit/>
          <w:jc w:val="center"/>
        </w:trPr>
        <w:tc>
          <w:tcPr>
            <w:tcW w:w="1720" w:type="dxa"/>
            <w:tcBorders>
              <w:bottom w:val="nil"/>
            </w:tcBorders>
            <w:vAlign w:val="center"/>
          </w:tcPr>
          <w:p w:rsidR="000E74C1" w:rsidRPr="00F95B02" w:rsidRDefault="000E74C1" w:rsidP="004D5110">
            <w:pPr>
              <w:pStyle w:val="TAC"/>
              <w:rPr>
                <w:rFonts w:cs="v5.0.0"/>
              </w:rPr>
            </w:pPr>
            <w:r w:rsidRPr="00F95B02">
              <w:t>15</w:t>
            </w:r>
          </w:p>
        </w:tc>
        <w:tc>
          <w:tcPr>
            <w:tcW w:w="4678" w:type="dxa"/>
            <w:vAlign w:val="center"/>
          </w:tcPr>
          <w:p w:rsidR="000E74C1" w:rsidRDefault="000E74C1" w:rsidP="004D5110">
            <w:pPr>
              <w:pStyle w:val="TAC"/>
            </w:pPr>
            <w:r w:rsidRPr="00F95B02">
              <w:t xml:space="preserve">Within </w:t>
            </w:r>
            <w:proofErr w:type="spellStart"/>
            <w:r w:rsidRPr="00F95B02">
              <w:t>center</w:t>
            </w:r>
            <w:proofErr w:type="spellEnd"/>
            <w:r w:rsidRPr="00F95B02">
              <w:t xml:space="preserve"> 77*180kHz+15kHz at each edge</w:t>
            </w:r>
          </w:p>
        </w:tc>
        <w:tc>
          <w:tcPr>
            <w:tcW w:w="1860" w:type="dxa"/>
            <w:vAlign w:val="center"/>
          </w:tcPr>
          <w:p w:rsidR="000E74C1" w:rsidRDefault="000E74C1" w:rsidP="004D5110">
            <w:pPr>
              <w:pStyle w:val="TAC"/>
            </w:pPr>
            <w:r w:rsidRPr="00F95B02">
              <w:t>+6</w:t>
            </w:r>
          </w:p>
        </w:tc>
      </w:tr>
      <w:tr w:rsidR="000E74C1" w:rsidTr="004D5110">
        <w:trPr>
          <w:cantSplit/>
          <w:jc w:val="center"/>
        </w:trPr>
        <w:tc>
          <w:tcPr>
            <w:tcW w:w="1720" w:type="dxa"/>
            <w:tcBorders>
              <w:top w:val="nil"/>
              <w:bottom w:val="single" w:sz="4" w:space="0" w:color="auto"/>
            </w:tcBorders>
          </w:tcPr>
          <w:p w:rsidR="000E74C1" w:rsidRPr="00F95B02" w:rsidRDefault="000E74C1" w:rsidP="004D5110">
            <w:pPr>
              <w:pStyle w:val="TAC"/>
              <w:rPr>
                <w:rFonts w:cs="v5.0.0"/>
              </w:rPr>
            </w:pPr>
          </w:p>
        </w:tc>
        <w:tc>
          <w:tcPr>
            <w:tcW w:w="4678" w:type="dxa"/>
          </w:tcPr>
          <w:p w:rsidR="000E74C1" w:rsidRDefault="000E74C1" w:rsidP="004D5110">
            <w:pPr>
              <w:pStyle w:val="TAC"/>
            </w:pPr>
            <w:r w:rsidRPr="00F95B02">
              <w:t>Other</w:t>
            </w:r>
          </w:p>
        </w:tc>
        <w:tc>
          <w:tcPr>
            <w:tcW w:w="1860" w:type="dxa"/>
            <w:vAlign w:val="center"/>
          </w:tcPr>
          <w:p w:rsidR="000E74C1" w:rsidRDefault="000E74C1" w:rsidP="004D5110">
            <w:pPr>
              <w:pStyle w:val="TAC"/>
            </w:pPr>
            <w:r w:rsidRPr="00F95B02">
              <w:t>+3</w:t>
            </w:r>
          </w:p>
        </w:tc>
      </w:tr>
      <w:tr w:rsidR="000E74C1" w:rsidTr="004D5110">
        <w:trPr>
          <w:cantSplit/>
          <w:jc w:val="center"/>
        </w:trPr>
        <w:tc>
          <w:tcPr>
            <w:tcW w:w="1720" w:type="dxa"/>
            <w:tcBorders>
              <w:bottom w:val="nil"/>
            </w:tcBorders>
            <w:vAlign w:val="center"/>
          </w:tcPr>
          <w:p w:rsidR="000E74C1" w:rsidRPr="00F95B02" w:rsidRDefault="000E74C1" w:rsidP="004D5110">
            <w:pPr>
              <w:pStyle w:val="TAC"/>
              <w:rPr>
                <w:rFonts w:cs="v5.0.0"/>
              </w:rPr>
            </w:pPr>
            <w:r w:rsidRPr="00F95B02">
              <w:t>20</w:t>
            </w:r>
          </w:p>
        </w:tc>
        <w:tc>
          <w:tcPr>
            <w:tcW w:w="4678" w:type="dxa"/>
          </w:tcPr>
          <w:p w:rsidR="000E74C1" w:rsidRDefault="000E74C1" w:rsidP="004D5110">
            <w:pPr>
              <w:pStyle w:val="TAC"/>
            </w:pPr>
            <w:r w:rsidRPr="00F95B02">
              <w:t xml:space="preserve">Within </w:t>
            </w:r>
            <w:proofErr w:type="spellStart"/>
            <w:r w:rsidRPr="00F95B02">
              <w:t>center</w:t>
            </w:r>
            <w:proofErr w:type="spellEnd"/>
            <w:r w:rsidRPr="00F95B02">
              <w:t xml:space="preserve"> 102*180kHz+15kHz at each edge</w:t>
            </w:r>
          </w:p>
        </w:tc>
        <w:tc>
          <w:tcPr>
            <w:tcW w:w="1860" w:type="dxa"/>
            <w:vAlign w:val="center"/>
          </w:tcPr>
          <w:p w:rsidR="000E74C1" w:rsidRDefault="000E74C1" w:rsidP="004D5110">
            <w:pPr>
              <w:pStyle w:val="TAC"/>
            </w:pPr>
            <w:r w:rsidRPr="00F95B02">
              <w:t>+6</w:t>
            </w:r>
          </w:p>
        </w:tc>
      </w:tr>
      <w:tr w:rsidR="000E74C1" w:rsidTr="004D5110">
        <w:trPr>
          <w:cantSplit/>
          <w:jc w:val="center"/>
        </w:trPr>
        <w:tc>
          <w:tcPr>
            <w:tcW w:w="1720" w:type="dxa"/>
            <w:tcBorders>
              <w:top w:val="nil"/>
              <w:bottom w:val="single" w:sz="4" w:space="0" w:color="auto"/>
            </w:tcBorders>
          </w:tcPr>
          <w:p w:rsidR="000E74C1" w:rsidRPr="00F95B02" w:rsidRDefault="000E74C1" w:rsidP="004D5110">
            <w:pPr>
              <w:pStyle w:val="TAC"/>
              <w:rPr>
                <w:rFonts w:cs="v5.0.0"/>
              </w:rPr>
            </w:pPr>
          </w:p>
        </w:tc>
        <w:tc>
          <w:tcPr>
            <w:tcW w:w="4678" w:type="dxa"/>
          </w:tcPr>
          <w:p w:rsidR="000E74C1" w:rsidRPr="00F95B02" w:rsidRDefault="000E74C1" w:rsidP="004D5110">
            <w:pPr>
              <w:pStyle w:val="TAC"/>
            </w:pPr>
            <w:r w:rsidRPr="00F95B02">
              <w:t>Other</w:t>
            </w:r>
          </w:p>
        </w:tc>
        <w:tc>
          <w:tcPr>
            <w:tcW w:w="1860" w:type="dxa"/>
            <w:vAlign w:val="center"/>
          </w:tcPr>
          <w:p w:rsidR="000E74C1" w:rsidRPr="00F95B02" w:rsidRDefault="000E74C1" w:rsidP="004D5110">
            <w:pPr>
              <w:pStyle w:val="TAC"/>
            </w:pPr>
            <w:r w:rsidRPr="00F95B02">
              <w:t>+3</w:t>
            </w:r>
          </w:p>
        </w:tc>
      </w:tr>
    </w:tbl>
    <w:p w:rsidR="000E74C1" w:rsidRDefault="004B2EC4" w:rsidP="00BC7D89">
      <w:pPr>
        <w:spacing w:beforeLines="50" w:before="120" w:after="120"/>
        <w:jc w:val="both"/>
        <w:rPr>
          <w:lang w:val="en-US"/>
        </w:rPr>
      </w:pPr>
      <w:r>
        <w:rPr>
          <w:lang w:val="en-US"/>
        </w:rPr>
        <w:t>For the in-band operation, the case for LP-WUS is not exactly the same as NB-IoT, as NB-IoT is RB based and the RB size is not fixed, while for LP-WUS, around 5MHz CBW is reserved even for the in-band operation, which means up to 24RBs could be allocated to LP-WUS together with NR RBs in a large CBW. Therefore, the power sharing with NR should be considered, especially for legacy BS without hardware upgrade for existing deployment.</w:t>
      </w:r>
    </w:p>
    <w:p w:rsidR="006566B7" w:rsidRDefault="006566B7" w:rsidP="006566B7">
      <w:pPr>
        <w:spacing w:beforeLines="50" w:before="120" w:after="120"/>
        <w:jc w:val="both"/>
        <w:rPr>
          <w:b/>
          <w:i/>
          <w:lang w:val="en-US" w:eastAsia="en-US"/>
        </w:rPr>
      </w:pPr>
      <w:r w:rsidRPr="006566B7">
        <w:rPr>
          <w:b/>
          <w:i/>
          <w:lang w:val="en-US" w:eastAsia="en-US"/>
        </w:rPr>
        <w:t>Observation</w:t>
      </w:r>
      <w:r>
        <w:rPr>
          <w:b/>
          <w:i/>
          <w:lang w:val="en-US" w:eastAsia="en-US"/>
        </w:rPr>
        <w:t xml:space="preserve"> 1</w:t>
      </w:r>
      <w:r w:rsidRPr="006566B7">
        <w:rPr>
          <w:b/>
          <w:i/>
          <w:lang w:val="en-US" w:eastAsia="en-US"/>
        </w:rPr>
        <w:t xml:space="preserve">: </w:t>
      </w:r>
      <w:r>
        <w:rPr>
          <w:b/>
          <w:i/>
          <w:lang w:val="en-US" w:eastAsia="en-US"/>
        </w:rPr>
        <w:t>Power boosting requirement for NB-IoT is different for different RB frequency positions</w:t>
      </w:r>
      <w:r w:rsidRPr="006566B7">
        <w:rPr>
          <w:b/>
          <w:i/>
          <w:lang w:val="en-US" w:eastAsia="en-US"/>
        </w:rPr>
        <w:t>.</w:t>
      </w:r>
    </w:p>
    <w:p w:rsidR="006566B7" w:rsidRDefault="006566B7" w:rsidP="006566B7">
      <w:pPr>
        <w:spacing w:beforeLines="50" w:before="120" w:after="120"/>
        <w:jc w:val="both"/>
        <w:rPr>
          <w:b/>
          <w:i/>
          <w:lang w:val="en-US" w:eastAsia="en-US"/>
        </w:rPr>
      </w:pPr>
      <w:r w:rsidRPr="006566B7">
        <w:rPr>
          <w:b/>
          <w:i/>
          <w:lang w:val="en-US" w:eastAsia="en-US"/>
        </w:rPr>
        <w:t>Observation</w:t>
      </w:r>
      <w:r>
        <w:rPr>
          <w:b/>
          <w:i/>
          <w:lang w:val="en-US" w:eastAsia="en-US"/>
        </w:rPr>
        <w:t xml:space="preserve"> 2</w:t>
      </w:r>
      <w:r w:rsidRPr="006566B7">
        <w:rPr>
          <w:b/>
          <w:i/>
          <w:lang w:val="en-US" w:eastAsia="en-US"/>
        </w:rPr>
        <w:t xml:space="preserve">: </w:t>
      </w:r>
      <w:r>
        <w:rPr>
          <w:b/>
          <w:i/>
          <w:lang w:val="en-US" w:eastAsia="en-US"/>
        </w:rPr>
        <w:t>There is no fixed RB numbers for NB-IoT for in-band operation like LP-WUS, which occupies 5MHz BW no matter whether all RBs for LP-WUS are scheduled</w:t>
      </w:r>
      <w:r w:rsidRPr="006566B7">
        <w:rPr>
          <w:b/>
          <w:i/>
          <w:lang w:val="en-US" w:eastAsia="en-US"/>
        </w:rPr>
        <w:t>.</w:t>
      </w:r>
    </w:p>
    <w:p w:rsidR="000E74C1" w:rsidRDefault="000E74C1" w:rsidP="000E74C1">
      <w:pPr>
        <w:pStyle w:val="3"/>
        <w:rPr>
          <w:lang w:val="x-none"/>
        </w:rPr>
      </w:pPr>
      <w:r>
        <w:rPr>
          <w:rFonts w:hint="eastAsia"/>
          <w:lang w:val="x-none"/>
        </w:rPr>
        <w:t>P</w:t>
      </w:r>
      <w:r>
        <w:rPr>
          <w:lang w:val="x-none"/>
        </w:rPr>
        <w:t>ower sharing and impact to NR</w:t>
      </w:r>
    </w:p>
    <w:p w:rsidR="000E74C1" w:rsidRPr="001822F2" w:rsidRDefault="000E74C1" w:rsidP="000E74C1">
      <w:pPr>
        <w:spacing w:beforeLines="50" w:before="120"/>
        <w:jc w:val="both"/>
        <w:rPr>
          <w:rFonts w:eastAsiaTheme="minorEastAsia"/>
          <w:lang w:val="x-none"/>
        </w:rPr>
      </w:pPr>
      <w:r w:rsidRPr="001822F2">
        <w:rPr>
          <w:rFonts w:eastAsiaTheme="minorEastAsia"/>
          <w:lang w:val="x-none"/>
        </w:rPr>
        <w:t xml:space="preserve">During the study for NB-IoT, 1 </w:t>
      </w:r>
      <w:r w:rsidRPr="001822F2">
        <w:rPr>
          <w:rFonts w:eastAsiaTheme="minorEastAsia" w:hint="eastAsia"/>
          <w:lang w:val="x-none"/>
        </w:rPr>
        <w:t>RB</w:t>
      </w:r>
      <w:r w:rsidRPr="001822F2">
        <w:rPr>
          <w:rFonts w:eastAsiaTheme="minorEastAsia"/>
          <w:lang w:val="x-none"/>
        </w:rPr>
        <w:t xml:space="preserve"> NB-IoT inside the CBW is a typical case. The reason is </w:t>
      </w:r>
      <w:r>
        <w:rPr>
          <w:rFonts w:eastAsiaTheme="minorEastAsia"/>
          <w:lang w:val="x-none"/>
        </w:rPr>
        <w:t xml:space="preserve">partly due to </w:t>
      </w:r>
      <w:r w:rsidRPr="001822F2">
        <w:rPr>
          <w:rFonts w:eastAsiaTheme="minorEastAsia"/>
          <w:lang w:val="x-none"/>
        </w:rPr>
        <w:t xml:space="preserve">that the power is shared by NB-IoT and NR. If several RBs of NB-IoT to boost the power of 6dB compared to the average power of all RBs in the carrier, the available power for NR would be decreased, which will have impact on the NR coverage. </w:t>
      </w:r>
    </w:p>
    <w:p w:rsidR="000E74C1" w:rsidRPr="001822F2" w:rsidRDefault="000E74C1" w:rsidP="000E74C1">
      <w:pPr>
        <w:jc w:val="both"/>
        <w:rPr>
          <w:rFonts w:eastAsiaTheme="minorEastAsia"/>
          <w:lang w:val="x-none"/>
        </w:rPr>
      </w:pPr>
      <w:r w:rsidRPr="001822F2">
        <w:rPr>
          <w:rFonts w:eastAsiaTheme="minorEastAsia" w:hint="eastAsia"/>
          <w:lang w:val="x-none"/>
        </w:rPr>
        <w:t>T</w:t>
      </w:r>
      <w:r w:rsidRPr="001822F2">
        <w:rPr>
          <w:rFonts w:eastAsiaTheme="minorEastAsia"/>
          <w:lang w:val="x-none"/>
        </w:rPr>
        <w:t xml:space="preserve">he concern on the power boosting for LP-WUS is valid. Here we use 10MHz CBW with 5MHz reserved for LP-WUS as an example to illustrate the impact to NR </w:t>
      </w:r>
      <w:r>
        <w:rPr>
          <w:rFonts w:eastAsiaTheme="minorEastAsia"/>
          <w:lang w:val="x-none"/>
        </w:rPr>
        <w:t>coverage</w:t>
      </w:r>
      <w:r w:rsidRPr="001822F2">
        <w:rPr>
          <w:rFonts w:eastAsiaTheme="minorEastAsia"/>
          <w:lang w:val="x-none"/>
        </w:rPr>
        <w:t xml:space="preserve">. </w:t>
      </w:r>
    </w:p>
    <w:p w:rsidR="000E74C1" w:rsidRPr="001822F2" w:rsidRDefault="000E74C1" w:rsidP="000E74C1">
      <w:pPr>
        <w:jc w:val="both"/>
        <w:rPr>
          <w:rFonts w:eastAsiaTheme="minorEastAsia"/>
          <w:lang w:val="x-none"/>
        </w:rPr>
      </w:pPr>
      <w:r w:rsidRPr="001822F2">
        <w:rPr>
          <w:rFonts w:eastAsiaTheme="minorEastAsia" w:hint="eastAsia"/>
          <w:lang w:val="x-none"/>
        </w:rPr>
        <w:t>S</w:t>
      </w:r>
      <w:r w:rsidRPr="001822F2">
        <w:rPr>
          <w:rFonts w:eastAsiaTheme="minorEastAsia"/>
          <w:lang w:val="x-none"/>
        </w:rPr>
        <w:t xml:space="preserve">uppose all 24RBs of LP-WUS are transmitting, but only some of them can boost 6dB power compared to the average power for all RBs including both LP-WUS and NR. It can be seen in Figure 1 that with increasing of number of LP-WUS RBs supporting power boosting, the per RB output power for NR would be decreased. The NR power could be reduced by 3dB if 6 WUS RBs boost the power by 6dB. Or if we keep the power of NR per RB unchanged, the available RBs for NR should be reduced as shown in the right figure. </w:t>
      </w:r>
    </w:p>
    <w:p w:rsidR="000E74C1" w:rsidRDefault="000E74C1" w:rsidP="000E74C1">
      <w:pPr>
        <w:spacing w:beforeLines="50" w:before="120"/>
        <w:jc w:val="center"/>
      </w:pPr>
      <w:r>
        <w:rPr>
          <w:noProof/>
        </w:rPr>
        <w:drawing>
          <wp:inline distT="0" distB="0" distL="0" distR="0" wp14:anchorId="4F14042F" wp14:editId="4DF15877">
            <wp:extent cx="2613550" cy="1567435"/>
            <wp:effectExtent l="0" t="0" r="0" b="0"/>
            <wp:docPr id="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2613550" cy="1567435"/>
                    </a:xfrm>
                    <a:prstGeom prst="rect">
                      <a:avLst/>
                    </a:prstGeom>
                    <a:noFill/>
                  </pic:spPr>
                </pic:pic>
              </a:graphicData>
            </a:graphic>
          </wp:inline>
        </w:drawing>
      </w:r>
      <w:r>
        <w:rPr>
          <w:rFonts w:hint="eastAsia"/>
        </w:rPr>
        <w:t xml:space="preserve"> </w:t>
      </w:r>
      <w:r>
        <w:t xml:space="preserve"> </w:t>
      </w:r>
      <w:r>
        <w:rPr>
          <w:noProof/>
        </w:rPr>
        <w:drawing>
          <wp:inline distT="0" distB="0" distL="0" distR="0" wp14:anchorId="3EDB9B75" wp14:editId="09E7A343">
            <wp:extent cx="2607767" cy="1567434"/>
            <wp:effectExtent l="0" t="0" r="2540" b="0"/>
            <wp:docPr id="2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2607767" cy="1567434"/>
                    </a:xfrm>
                    <a:prstGeom prst="rect">
                      <a:avLst/>
                    </a:prstGeom>
                    <a:noFill/>
                  </pic:spPr>
                </pic:pic>
              </a:graphicData>
            </a:graphic>
          </wp:inline>
        </w:drawing>
      </w:r>
    </w:p>
    <w:p w:rsidR="000E74C1" w:rsidRDefault="000E74C1" w:rsidP="000E74C1">
      <w:pPr>
        <w:spacing w:after="0"/>
        <w:jc w:val="center"/>
        <w:rPr>
          <w:rFonts w:ascii="Arial" w:hAnsi="Arial" w:cs="Arial"/>
          <w:b/>
          <w:lang w:val="en-US"/>
        </w:rPr>
      </w:pPr>
      <w:r>
        <w:rPr>
          <w:rFonts w:ascii="Arial" w:hAnsi="Arial" w:cs="Arial"/>
          <w:b/>
          <w:lang w:val="en-US"/>
        </w:rPr>
        <w:t xml:space="preserve">Figure </w:t>
      </w:r>
      <w:r w:rsidR="00E93820">
        <w:rPr>
          <w:rFonts w:ascii="Arial" w:hAnsi="Arial" w:cs="Arial"/>
          <w:b/>
          <w:lang w:val="en-US"/>
        </w:rPr>
        <w:t>1</w:t>
      </w:r>
      <w:r>
        <w:rPr>
          <w:rFonts w:ascii="Arial" w:hAnsi="Arial" w:cs="Arial"/>
          <w:b/>
          <w:lang w:val="en-US"/>
        </w:rPr>
        <w:t>:</w:t>
      </w:r>
      <w:r w:rsidRPr="0088354B">
        <w:rPr>
          <w:rFonts w:ascii="Arial" w:hAnsi="Arial" w:cs="Arial" w:hint="eastAsia"/>
          <w:b/>
          <w:lang w:val="en-US"/>
        </w:rPr>
        <w:t xml:space="preserve"> </w:t>
      </w:r>
      <w:r>
        <w:rPr>
          <w:rFonts w:ascii="Arial" w:hAnsi="Arial" w:cs="Arial"/>
          <w:b/>
          <w:lang w:val="en-US"/>
        </w:rPr>
        <w:t xml:space="preserve">Power reduction for NR </w:t>
      </w:r>
      <w:r>
        <w:rPr>
          <w:rFonts w:ascii="Arial" w:hAnsi="Arial" w:cs="Arial" w:hint="eastAsia"/>
          <w:b/>
          <w:lang w:val="en-US"/>
        </w:rPr>
        <w:t>vs</w:t>
      </w:r>
      <w:r>
        <w:rPr>
          <w:rFonts w:ascii="Arial" w:hAnsi="Arial" w:cs="Arial"/>
          <w:b/>
          <w:lang w:val="en-US"/>
        </w:rPr>
        <w:t xml:space="preserve"> power boosting of some LP-WUS RBs </w:t>
      </w:r>
    </w:p>
    <w:p w:rsidR="000E74C1" w:rsidRDefault="000E74C1" w:rsidP="000E74C1">
      <w:pPr>
        <w:jc w:val="center"/>
      </w:pPr>
      <w:r>
        <w:rPr>
          <w:rFonts w:ascii="Arial" w:hAnsi="Arial" w:cs="Arial"/>
          <w:b/>
          <w:lang w:val="en-US"/>
        </w:rPr>
        <w:t xml:space="preserve">(all WUS RB are transmitting)  </w:t>
      </w:r>
    </w:p>
    <w:p w:rsidR="000E74C1" w:rsidRDefault="000E74C1" w:rsidP="000E74C1">
      <w:pPr>
        <w:spacing w:beforeLines="50" w:before="120"/>
        <w:jc w:val="both"/>
      </w:pPr>
      <w:r>
        <w:rPr>
          <w:rFonts w:hint="eastAsia"/>
        </w:rPr>
        <w:t>A</w:t>
      </w:r>
      <w:r>
        <w:t xml:space="preserve">lternatively, if not all 24 </w:t>
      </w:r>
      <w:r>
        <w:rPr>
          <w:rFonts w:hint="eastAsia"/>
        </w:rPr>
        <w:t>RB</w:t>
      </w:r>
      <w:r>
        <w:t>s reserved for LP-WUS are transmitting but the RBs with power boosting are transmitting, we see the per RB power of NR could be decreased bit lower than the above case, but only 6 RBs can be supported for LP-WUS with power boosting if no coverage impact is allowed for NR.</w:t>
      </w:r>
    </w:p>
    <w:p w:rsidR="000E74C1" w:rsidRDefault="000E74C1" w:rsidP="000E74C1">
      <w:pPr>
        <w:spacing w:beforeLines="50" w:before="120"/>
        <w:jc w:val="center"/>
      </w:pPr>
      <w:r>
        <w:rPr>
          <w:noProof/>
        </w:rPr>
        <w:lastRenderedPageBreak/>
        <w:drawing>
          <wp:inline distT="0" distB="0" distL="0" distR="0" wp14:anchorId="166EE6F5" wp14:editId="379EFF86">
            <wp:extent cx="2610358" cy="1567435"/>
            <wp:effectExtent l="0" t="0" r="0" b="0"/>
            <wp:docPr id="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2610358" cy="1567435"/>
                    </a:xfrm>
                    <a:prstGeom prst="rect">
                      <a:avLst/>
                    </a:prstGeom>
                    <a:noFill/>
                  </pic:spPr>
                </pic:pic>
              </a:graphicData>
            </a:graphic>
          </wp:inline>
        </w:drawing>
      </w:r>
      <w:r>
        <w:rPr>
          <w:rFonts w:hint="eastAsia"/>
        </w:rPr>
        <w:t xml:space="preserve"> </w:t>
      </w:r>
      <w:r>
        <w:t xml:space="preserve"> </w:t>
      </w:r>
      <w:r>
        <w:rPr>
          <w:noProof/>
        </w:rPr>
        <w:drawing>
          <wp:inline distT="0" distB="0" distL="0" distR="0" wp14:anchorId="69BD8C32" wp14:editId="27B8562C">
            <wp:extent cx="2607767" cy="1557706"/>
            <wp:effectExtent l="0" t="0" r="2540" b="4445"/>
            <wp:docPr id="3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2607767" cy="1557706"/>
                    </a:xfrm>
                    <a:prstGeom prst="rect">
                      <a:avLst/>
                    </a:prstGeom>
                    <a:noFill/>
                  </pic:spPr>
                </pic:pic>
              </a:graphicData>
            </a:graphic>
          </wp:inline>
        </w:drawing>
      </w:r>
    </w:p>
    <w:p w:rsidR="000E74C1" w:rsidRPr="0047686E" w:rsidRDefault="000E74C1" w:rsidP="000E74C1">
      <w:pPr>
        <w:spacing w:after="0"/>
        <w:jc w:val="center"/>
        <w:rPr>
          <w:rFonts w:ascii="Arial" w:hAnsi="Arial" w:cs="Arial"/>
          <w:b/>
          <w:lang w:val="en-US"/>
        </w:rPr>
      </w:pPr>
      <w:r w:rsidRPr="0047686E">
        <w:rPr>
          <w:rFonts w:ascii="Arial" w:hAnsi="Arial" w:cs="Arial"/>
          <w:b/>
          <w:lang w:val="en-US"/>
        </w:rPr>
        <w:t xml:space="preserve">Figure </w:t>
      </w:r>
      <w:r w:rsidR="00E93820">
        <w:rPr>
          <w:rFonts w:ascii="Arial" w:hAnsi="Arial" w:cs="Arial"/>
          <w:b/>
          <w:lang w:val="en-US"/>
        </w:rPr>
        <w:t>2</w:t>
      </w:r>
      <w:r w:rsidRPr="0047686E">
        <w:rPr>
          <w:rFonts w:ascii="Arial" w:hAnsi="Arial" w:cs="Arial"/>
          <w:b/>
          <w:lang w:val="en-US"/>
        </w:rPr>
        <w:t>:</w:t>
      </w:r>
      <w:r w:rsidRPr="0047686E">
        <w:rPr>
          <w:rFonts w:ascii="Arial" w:hAnsi="Arial" w:cs="Arial" w:hint="eastAsia"/>
          <w:b/>
          <w:lang w:val="en-US"/>
        </w:rPr>
        <w:t xml:space="preserve"> </w:t>
      </w:r>
      <w:r w:rsidRPr="0047686E">
        <w:rPr>
          <w:rFonts w:ascii="Arial" w:hAnsi="Arial" w:cs="Arial"/>
          <w:b/>
          <w:lang w:val="en-US"/>
        </w:rPr>
        <w:t xml:space="preserve">Power reduction for NR vs power boosting of some LP-WUS RBs </w:t>
      </w:r>
    </w:p>
    <w:p w:rsidR="000E74C1" w:rsidRPr="0047686E" w:rsidRDefault="000E74C1" w:rsidP="000E74C1">
      <w:pPr>
        <w:spacing w:after="0"/>
        <w:jc w:val="center"/>
        <w:rPr>
          <w:rFonts w:ascii="Arial" w:hAnsi="Arial" w:cs="Arial"/>
          <w:b/>
          <w:lang w:val="en-US"/>
        </w:rPr>
      </w:pPr>
      <w:r w:rsidRPr="0047686E">
        <w:rPr>
          <w:rFonts w:ascii="Arial" w:hAnsi="Arial" w:cs="Arial"/>
          <w:b/>
          <w:lang w:val="en-US"/>
        </w:rPr>
        <w:t>(</w:t>
      </w:r>
      <w:r>
        <w:rPr>
          <w:rFonts w:ascii="Arial" w:hAnsi="Arial" w:cs="Arial"/>
          <w:b/>
          <w:lang w:val="en-US"/>
        </w:rPr>
        <w:t>only power boosting</w:t>
      </w:r>
      <w:r w:rsidRPr="0047686E">
        <w:rPr>
          <w:rFonts w:ascii="Arial" w:hAnsi="Arial" w:cs="Arial"/>
          <w:b/>
          <w:lang w:val="en-US"/>
        </w:rPr>
        <w:t xml:space="preserve"> WUS RB</w:t>
      </w:r>
      <w:r>
        <w:rPr>
          <w:rFonts w:ascii="Arial" w:hAnsi="Arial" w:cs="Arial"/>
          <w:b/>
          <w:lang w:val="en-US"/>
        </w:rPr>
        <w:t>s</w:t>
      </w:r>
      <w:r w:rsidRPr="0047686E">
        <w:rPr>
          <w:rFonts w:ascii="Arial" w:hAnsi="Arial" w:cs="Arial"/>
          <w:b/>
          <w:lang w:val="en-US"/>
        </w:rPr>
        <w:t xml:space="preserve"> are transmitting)</w:t>
      </w:r>
    </w:p>
    <w:p w:rsidR="000E74C1" w:rsidRPr="006566B7" w:rsidRDefault="000E74C1" w:rsidP="000E74C1">
      <w:pPr>
        <w:spacing w:beforeLines="50" w:before="120" w:after="120"/>
        <w:jc w:val="both"/>
        <w:rPr>
          <w:b/>
          <w:i/>
          <w:lang w:val="en-US" w:eastAsia="en-US"/>
        </w:rPr>
      </w:pPr>
      <w:r w:rsidRPr="006566B7">
        <w:rPr>
          <w:b/>
          <w:i/>
          <w:lang w:val="en-US" w:eastAsia="en-US"/>
        </w:rPr>
        <w:t>Observation</w:t>
      </w:r>
      <w:r w:rsidR="000811FC">
        <w:rPr>
          <w:b/>
          <w:i/>
          <w:lang w:val="en-US" w:eastAsia="en-US"/>
        </w:rPr>
        <w:t xml:space="preserve"> 3</w:t>
      </w:r>
      <w:r w:rsidRPr="006566B7">
        <w:rPr>
          <w:b/>
          <w:i/>
          <w:lang w:val="en-US" w:eastAsia="en-US"/>
        </w:rPr>
        <w:t xml:space="preserve">: Since power is shared between LP-WUS and NR signals, the power boosting of LP-WUS may have impact </w:t>
      </w:r>
      <w:r w:rsidR="004C06F5">
        <w:rPr>
          <w:b/>
          <w:i/>
          <w:lang w:val="en-US" w:eastAsia="en-US"/>
        </w:rPr>
        <w:t>on</w:t>
      </w:r>
      <w:r w:rsidRPr="006566B7">
        <w:rPr>
          <w:b/>
          <w:i/>
          <w:lang w:val="en-US" w:eastAsia="en-US"/>
        </w:rPr>
        <w:t xml:space="preserve"> the NR coverage.</w:t>
      </w:r>
    </w:p>
    <w:p w:rsidR="000E74C1" w:rsidRPr="000E74C1" w:rsidRDefault="000E74C1" w:rsidP="000E74C1">
      <w:pPr>
        <w:pStyle w:val="3"/>
      </w:pPr>
      <w:r>
        <w:rPr>
          <w:rFonts w:hint="eastAsia"/>
        </w:rPr>
        <w:t>D</w:t>
      </w:r>
      <w:r>
        <w:t>ynamic range and/or power boosting declaration for LP-WUS</w:t>
      </w:r>
    </w:p>
    <w:p w:rsidR="00540A6B" w:rsidRDefault="00995CA4" w:rsidP="00D555A5">
      <w:pPr>
        <w:jc w:val="both"/>
        <w:rPr>
          <w:lang w:val="en-US"/>
        </w:rPr>
      </w:pPr>
      <w:r>
        <w:rPr>
          <w:rFonts w:hint="eastAsia"/>
          <w:lang w:val="en-US"/>
        </w:rPr>
        <w:t>S</w:t>
      </w:r>
      <w:r>
        <w:rPr>
          <w:lang w:val="en-US"/>
        </w:rPr>
        <w:t xml:space="preserve">till we use NB-IoT as reference to further discuss the </w:t>
      </w:r>
      <w:r w:rsidR="00D555A5">
        <w:rPr>
          <w:lang w:val="en-US"/>
        </w:rPr>
        <w:t>possible dynamic range requirement and power boosting declaration for LP-WUS.</w:t>
      </w:r>
    </w:p>
    <w:p w:rsidR="00762316" w:rsidRDefault="00762316" w:rsidP="00D555A5">
      <w:pPr>
        <w:jc w:val="both"/>
      </w:pPr>
      <w:r>
        <w:rPr>
          <w:rFonts w:hint="eastAsia"/>
          <w:lang w:val="en-US"/>
        </w:rPr>
        <w:t>A</w:t>
      </w:r>
      <w:r>
        <w:rPr>
          <w:lang w:val="en-US"/>
        </w:rPr>
        <w:t xml:space="preserve">s seen in section 2.2.1 for NB-IoT, two values of power boosting can be supported hinged to </w:t>
      </w:r>
      <w:r w:rsidRPr="00F95B02">
        <w:t>RB frequency position</w:t>
      </w:r>
      <w:r>
        <w:t xml:space="preserve">s, and the two values are minimum supported power boosting level. Since the supported RB size of NB-IoT is different from the case on LP-WUS, we think the highest boosting level should be capped as 6dB according to the SI discussion, while the minimum requirement for boosting could be considered as 3dB if specified, and FFS whether the boosting relies on the position of LP-WUS RB allocation, i.e. whether the 5MHz BW is </w:t>
      </w:r>
      <w:r w:rsidR="00B77305">
        <w:t>surrounded by NR RBs or it is allocated to the edge of a large channel BW.</w:t>
      </w:r>
    </w:p>
    <w:p w:rsidR="00B77305" w:rsidRPr="005369EE" w:rsidRDefault="00B77305" w:rsidP="00B77305">
      <w:pPr>
        <w:jc w:val="both"/>
        <w:rPr>
          <w:b/>
          <w:i/>
          <w:lang w:val="en-US" w:eastAsia="en-US"/>
        </w:rPr>
      </w:pPr>
      <w:r w:rsidRPr="005369EE">
        <w:rPr>
          <w:b/>
          <w:i/>
          <w:lang w:val="en-US" w:eastAsia="en-US"/>
        </w:rPr>
        <w:t>Proposal 1:</w:t>
      </w:r>
      <w:r>
        <w:rPr>
          <w:b/>
          <w:i/>
          <w:lang w:val="en-US" w:eastAsia="en-US"/>
        </w:rPr>
        <w:t xml:space="preserve"> It is proposed to consider 3dB power boosting as minimum requirement, and cap the boosting level to max 6dB. Whether the BS can support power boosting depends on manufacturer’s declaration. </w:t>
      </w:r>
      <w:r w:rsidRPr="00B77305">
        <w:rPr>
          <w:b/>
          <w:i/>
          <w:lang w:val="en-US" w:eastAsia="en-US"/>
        </w:rPr>
        <w:t>FFS whether the boosting relies on the position of LP-WUS RB allocation</w:t>
      </w:r>
      <w:r>
        <w:rPr>
          <w:b/>
          <w:i/>
          <w:lang w:val="en-US" w:eastAsia="en-US"/>
        </w:rPr>
        <w:t>.</w:t>
      </w:r>
    </w:p>
    <w:p w:rsidR="00B77305" w:rsidRDefault="00126477" w:rsidP="00D555A5">
      <w:pPr>
        <w:jc w:val="both"/>
        <w:rPr>
          <w:lang w:val="en-US"/>
        </w:rPr>
      </w:pPr>
      <w:r>
        <w:rPr>
          <w:rFonts w:hint="eastAsia"/>
          <w:lang w:val="en-US"/>
        </w:rPr>
        <w:t>R</w:t>
      </w:r>
      <w:r>
        <w:rPr>
          <w:lang w:val="en-US"/>
        </w:rPr>
        <w:t xml:space="preserve">egarding manufacturer’s declaration, it is specified in the BS </w:t>
      </w:r>
      <w:r w:rsidR="007D787A">
        <w:rPr>
          <w:lang w:val="en-US"/>
        </w:rPr>
        <w:t>conformance test specification, e.g. reference in [3] for FR1. The following part relevant to NB-IoT power boosting are copied from [3].</w:t>
      </w:r>
    </w:p>
    <w:p w:rsidR="00126477" w:rsidRPr="008C3753" w:rsidRDefault="00126477" w:rsidP="00126477">
      <w:pPr>
        <w:pStyle w:val="TH"/>
      </w:pPr>
      <w:r w:rsidRPr="008C3753">
        <w:t xml:space="preserve">Table 4.6-1 Manufacturer declarations for </w:t>
      </w:r>
      <w:r w:rsidRPr="008C3753">
        <w:rPr>
          <w:i/>
        </w:rPr>
        <w:t>BS type 1-C</w:t>
      </w:r>
      <w:r w:rsidRPr="008C3753">
        <w:t xml:space="preserve"> and </w:t>
      </w:r>
      <w:r w:rsidRPr="008C3753">
        <w:rPr>
          <w:i/>
        </w:rPr>
        <w:t>BS type 1-H</w:t>
      </w:r>
      <w:r w:rsidRPr="008C3753">
        <w:t xml:space="preserve"> conducted test requirements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7D787A" w:rsidRPr="008C3753" w:rsidTr="004D5110">
        <w:trPr>
          <w:cantSplit/>
          <w:jc w:val="center"/>
        </w:trPr>
        <w:tc>
          <w:tcPr>
            <w:tcW w:w="1416" w:type="dxa"/>
          </w:tcPr>
          <w:p w:rsidR="007D787A" w:rsidRPr="008C3753" w:rsidRDefault="007D787A" w:rsidP="004D5110">
            <w:pPr>
              <w:pStyle w:val="TAH"/>
            </w:pPr>
            <w:r w:rsidRPr="008C3753">
              <w:t>Declaration identifier</w:t>
            </w:r>
          </w:p>
        </w:tc>
        <w:tc>
          <w:tcPr>
            <w:tcW w:w="2338" w:type="dxa"/>
          </w:tcPr>
          <w:p w:rsidR="007D787A" w:rsidRPr="008C3753" w:rsidRDefault="007D787A" w:rsidP="004D5110">
            <w:pPr>
              <w:pStyle w:val="TAH"/>
            </w:pPr>
            <w:r w:rsidRPr="008C3753">
              <w:t>Declaration</w:t>
            </w:r>
          </w:p>
        </w:tc>
        <w:tc>
          <w:tcPr>
            <w:tcW w:w="4252" w:type="dxa"/>
          </w:tcPr>
          <w:p w:rsidR="007D787A" w:rsidRPr="008C3753" w:rsidRDefault="007D787A" w:rsidP="004D5110">
            <w:pPr>
              <w:pStyle w:val="TAH"/>
            </w:pPr>
            <w:r w:rsidRPr="008C3753">
              <w:t>Description</w:t>
            </w:r>
          </w:p>
        </w:tc>
        <w:tc>
          <w:tcPr>
            <w:tcW w:w="1771" w:type="dxa"/>
            <w:gridSpan w:val="2"/>
          </w:tcPr>
          <w:p w:rsidR="007D787A" w:rsidRPr="008C3753" w:rsidRDefault="007D787A" w:rsidP="004D5110">
            <w:pPr>
              <w:pStyle w:val="TAH"/>
            </w:pPr>
            <w:r w:rsidRPr="008C3753">
              <w:t>Applicability</w:t>
            </w:r>
          </w:p>
        </w:tc>
      </w:tr>
      <w:tr w:rsidR="007D787A" w:rsidRPr="008C3753" w:rsidTr="004D5110">
        <w:trPr>
          <w:cantSplit/>
          <w:jc w:val="center"/>
        </w:trPr>
        <w:tc>
          <w:tcPr>
            <w:tcW w:w="1416" w:type="dxa"/>
          </w:tcPr>
          <w:p w:rsidR="007D787A" w:rsidRPr="008C3753" w:rsidRDefault="007D787A" w:rsidP="004D5110">
            <w:pPr>
              <w:pStyle w:val="TAH"/>
            </w:pPr>
          </w:p>
        </w:tc>
        <w:tc>
          <w:tcPr>
            <w:tcW w:w="2338" w:type="dxa"/>
          </w:tcPr>
          <w:p w:rsidR="007D787A" w:rsidRPr="008C3753" w:rsidRDefault="007D787A" w:rsidP="004D5110">
            <w:pPr>
              <w:pStyle w:val="TAH"/>
            </w:pPr>
          </w:p>
        </w:tc>
        <w:tc>
          <w:tcPr>
            <w:tcW w:w="4252" w:type="dxa"/>
          </w:tcPr>
          <w:p w:rsidR="007D787A" w:rsidRPr="008C3753" w:rsidRDefault="007D787A" w:rsidP="004D5110">
            <w:pPr>
              <w:pStyle w:val="TAH"/>
            </w:pPr>
          </w:p>
        </w:tc>
        <w:tc>
          <w:tcPr>
            <w:tcW w:w="851" w:type="dxa"/>
          </w:tcPr>
          <w:p w:rsidR="007D787A" w:rsidRPr="008C3753" w:rsidRDefault="007D787A" w:rsidP="004D5110">
            <w:pPr>
              <w:pStyle w:val="TAH"/>
            </w:pPr>
            <w:r w:rsidRPr="008C3753">
              <w:rPr>
                <w:i/>
              </w:rPr>
              <w:t>BS type 1-C</w:t>
            </w:r>
          </w:p>
        </w:tc>
        <w:tc>
          <w:tcPr>
            <w:tcW w:w="920" w:type="dxa"/>
          </w:tcPr>
          <w:p w:rsidR="007D787A" w:rsidRPr="008C3753" w:rsidRDefault="007D787A" w:rsidP="004D5110">
            <w:pPr>
              <w:pStyle w:val="TAH"/>
            </w:pPr>
            <w:r w:rsidRPr="008C3753">
              <w:rPr>
                <w:i/>
              </w:rPr>
              <w:t>BS type 1-H</w:t>
            </w:r>
          </w:p>
        </w:tc>
      </w:tr>
      <w:tr w:rsidR="007D787A" w:rsidRPr="008C3753" w:rsidTr="007D787A">
        <w:trPr>
          <w:cantSplit/>
          <w:jc w:val="center"/>
        </w:trPr>
        <w:tc>
          <w:tcPr>
            <w:tcW w:w="1416" w:type="dxa"/>
            <w:tcBorders>
              <w:top w:val="single" w:sz="4" w:space="0" w:color="auto"/>
              <w:left w:val="single" w:sz="4" w:space="0" w:color="auto"/>
              <w:bottom w:val="single" w:sz="4" w:space="0" w:color="auto"/>
              <w:right w:val="single" w:sz="4" w:space="0" w:color="auto"/>
            </w:tcBorders>
          </w:tcPr>
          <w:p w:rsidR="007D787A" w:rsidRPr="007D787A" w:rsidRDefault="007D787A" w:rsidP="0008353B">
            <w:pPr>
              <w:pStyle w:val="TAH"/>
              <w:jc w:val="left"/>
              <w:rPr>
                <w:b w:val="0"/>
              </w:rPr>
            </w:pPr>
            <w:r w:rsidRPr="007D787A">
              <w:rPr>
                <w:b w:val="0"/>
              </w:rPr>
              <w:t>D.41</w:t>
            </w:r>
          </w:p>
        </w:tc>
        <w:tc>
          <w:tcPr>
            <w:tcW w:w="2338" w:type="dxa"/>
            <w:tcBorders>
              <w:top w:val="single" w:sz="4" w:space="0" w:color="auto"/>
              <w:left w:val="single" w:sz="4" w:space="0" w:color="auto"/>
              <w:bottom w:val="single" w:sz="4" w:space="0" w:color="auto"/>
              <w:right w:val="single" w:sz="4" w:space="0" w:color="auto"/>
            </w:tcBorders>
          </w:tcPr>
          <w:p w:rsidR="007D787A" w:rsidRPr="007D787A" w:rsidRDefault="007D787A" w:rsidP="0008353B">
            <w:pPr>
              <w:pStyle w:val="TAH"/>
              <w:jc w:val="left"/>
              <w:rPr>
                <w:b w:val="0"/>
              </w:rPr>
            </w:pPr>
            <w:r w:rsidRPr="007D787A">
              <w:rPr>
                <w:b w:val="0"/>
              </w:rPr>
              <w:t>NB-IoT operation</w:t>
            </w:r>
          </w:p>
        </w:tc>
        <w:tc>
          <w:tcPr>
            <w:tcW w:w="4252" w:type="dxa"/>
            <w:tcBorders>
              <w:top w:val="single" w:sz="4" w:space="0" w:color="auto"/>
              <w:left w:val="single" w:sz="4" w:space="0" w:color="auto"/>
              <w:bottom w:val="single" w:sz="4" w:space="0" w:color="auto"/>
              <w:right w:val="single" w:sz="4" w:space="0" w:color="auto"/>
            </w:tcBorders>
          </w:tcPr>
          <w:p w:rsidR="007D787A" w:rsidRPr="007D787A" w:rsidRDefault="007D787A" w:rsidP="0008353B">
            <w:pPr>
              <w:pStyle w:val="TAH"/>
              <w:jc w:val="left"/>
              <w:rPr>
                <w:b w:val="0"/>
              </w:rPr>
            </w:pPr>
            <w:r w:rsidRPr="007D787A">
              <w:rPr>
                <w:b w:val="0"/>
              </w:rPr>
              <w:t>Manufacturer shall declare the support of NB-IoT operation in NR in-band and the number of supported NB-IoT carriers in total and for each supported band, frequency range and channel bandwidth.</w:t>
            </w:r>
          </w:p>
        </w:tc>
        <w:tc>
          <w:tcPr>
            <w:tcW w:w="851" w:type="dxa"/>
            <w:tcBorders>
              <w:top w:val="single" w:sz="4" w:space="0" w:color="auto"/>
              <w:left w:val="single" w:sz="4" w:space="0" w:color="auto"/>
              <w:bottom w:val="single" w:sz="4" w:space="0" w:color="auto"/>
              <w:right w:val="single" w:sz="4" w:space="0" w:color="auto"/>
            </w:tcBorders>
          </w:tcPr>
          <w:p w:rsidR="007D787A" w:rsidRPr="0008353B" w:rsidRDefault="007D787A" w:rsidP="0008353B">
            <w:pPr>
              <w:pStyle w:val="TAH"/>
              <w:jc w:val="left"/>
              <w:rPr>
                <w:b w:val="0"/>
              </w:rPr>
            </w:pPr>
            <w:r w:rsidRPr="0008353B">
              <w:rPr>
                <w:b w:val="0"/>
              </w:rPr>
              <w:t>x</w:t>
            </w:r>
          </w:p>
        </w:tc>
        <w:tc>
          <w:tcPr>
            <w:tcW w:w="920" w:type="dxa"/>
            <w:tcBorders>
              <w:top w:val="single" w:sz="4" w:space="0" w:color="auto"/>
              <w:left w:val="single" w:sz="4" w:space="0" w:color="auto"/>
              <w:bottom w:val="single" w:sz="4" w:space="0" w:color="auto"/>
              <w:right w:val="single" w:sz="4" w:space="0" w:color="auto"/>
            </w:tcBorders>
          </w:tcPr>
          <w:p w:rsidR="007D787A" w:rsidRPr="0008353B" w:rsidRDefault="007D787A" w:rsidP="0008353B">
            <w:pPr>
              <w:pStyle w:val="TAH"/>
              <w:jc w:val="left"/>
              <w:rPr>
                <w:b w:val="0"/>
              </w:rPr>
            </w:pPr>
          </w:p>
        </w:tc>
      </w:tr>
      <w:tr w:rsidR="007D787A" w:rsidRPr="008C3753" w:rsidTr="007D787A">
        <w:trPr>
          <w:cantSplit/>
          <w:jc w:val="center"/>
        </w:trPr>
        <w:tc>
          <w:tcPr>
            <w:tcW w:w="1416" w:type="dxa"/>
            <w:tcBorders>
              <w:top w:val="single" w:sz="4" w:space="0" w:color="auto"/>
              <w:left w:val="single" w:sz="4" w:space="0" w:color="auto"/>
              <w:bottom w:val="single" w:sz="4" w:space="0" w:color="auto"/>
              <w:right w:val="single" w:sz="4" w:space="0" w:color="auto"/>
            </w:tcBorders>
          </w:tcPr>
          <w:p w:rsidR="007D787A" w:rsidRPr="007D787A" w:rsidRDefault="007D787A" w:rsidP="0008353B">
            <w:pPr>
              <w:pStyle w:val="TAH"/>
              <w:jc w:val="left"/>
              <w:rPr>
                <w:b w:val="0"/>
              </w:rPr>
            </w:pPr>
            <w:r w:rsidRPr="007D787A">
              <w:rPr>
                <w:b w:val="0"/>
              </w:rPr>
              <w:t>D.43</w:t>
            </w:r>
          </w:p>
        </w:tc>
        <w:tc>
          <w:tcPr>
            <w:tcW w:w="2338" w:type="dxa"/>
            <w:tcBorders>
              <w:top w:val="single" w:sz="4" w:space="0" w:color="auto"/>
              <w:left w:val="single" w:sz="4" w:space="0" w:color="auto"/>
              <w:bottom w:val="single" w:sz="4" w:space="0" w:color="auto"/>
              <w:right w:val="single" w:sz="4" w:space="0" w:color="auto"/>
            </w:tcBorders>
          </w:tcPr>
          <w:p w:rsidR="007D787A" w:rsidRPr="007D787A" w:rsidRDefault="007D787A" w:rsidP="0008353B">
            <w:pPr>
              <w:pStyle w:val="TAH"/>
              <w:jc w:val="left"/>
              <w:rPr>
                <w:b w:val="0"/>
              </w:rPr>
            </w:pPr>
            <w:r w:rsidRPr="007D787A">
              <w:rPr>
                <w:b w:val="0"/>
              </w:rPr>
              <w:t>NB-IoT power dynamic range</w:t>
            </w:r>
          </w:p>
        </w:tc>
        <w:tc>
          <w:tcPr>
            <w:tcW w:w="4252" w:type="dxa"/>
            <w:tcBorders>
              <w:top w:val="single" w:sz="4" w:space="0" w:color="auto"/>
              <w:left w:val="single" w:sz="4" w:space="0" w:color="auto"/>
              <w:bottom w:val="single" w:sz="4" w:space="0" w:color="auto"/>
              <w:right w:val="single" w:sz="4" w:space="0" w:color="auto"/>
            </w:tcBorders>
          </w:tcPr>
          <w:p w:rsidR="007D787A" w:rsidRPr="007D787A" w:rsidRDefault="007D787A" w:rsidP="0008353B">
            <w:pPr>
              <w:pStyle w:val="TAH"/>
              <w:jc w:val="left"/>
              <w:rPr>
                <w:b w:val="0"/>
              </w:rPr>
            </w:pPr>
            <w:r w:rsidRPr="007D787A">
              <w:rPr>
                <w:b w:val="0"/>
              </w:rPr>
              <w:t>If the BS supports NB-IoT operation in NR in-band, manufacturer shall declare the maximum power dynamic range it could support with a minimum of +6dB or +3dB as specified in clause 6.3.4 of TS 38.104 [2] (Note 5).</w:t>
            </w:r>
          </w:p>
        </w:tc>
        <w:tc>
          <w:tcPr>
            <w:tcW w:w="851" w:type="dxa"/>
            <w:tcBorders>
              <w:top w:val="single" w:sz="4" w:space="0" w:color="auto"/>
              <w:left w:val="single" w:sz="4" w:space="0" w:color="auto"/>
              <w:bottom w:val="single" w:sz="4" w:space="0" w:color="auto"/>
              <w:right w:val="single" w:sz="4" w:space="0" w:color="auto"/>
            </w:tcBorders>
          </w:tcPr>
          <w:p w:rsidR="007D787A" w:rsidRPr="0008353B" w:rsidRDefault="007D787A" w:rsidP="0008353B">
            <w:pPr>
              <w:pStyle w:val="TAH"/>
              <w:jc w:val="left"/>
              <w:rPr>
                <w:b w:val="0"/>
              </w:rPr>
            </w:pPr>
            <w:r w:rsidRPr="0008353B">
              <w:rPr>
                <w:b w:val="0"/>
              </w:rPr>
              <w:t>x</w:t>
            </w:r>
          </w:p>
        </w:tc>
        <w:tc>
          <w:tcPr>
            <w:tcW w:w="920" w:type="dxa"/>
            <w:tcBorders>
              <w:top w:val="single" w:sz="4" w:space="0" w:color="auto"/>
              <w:left w:val="single" w:sz="4" w:space="0" w:color="auto"/>
              <w:bottom w:val="single" w:sz="4" w:space="0" w:color="auto"/>
              <w:right w:val="single" w:sz="4" w:space="0" w:color="auto"/>
            </w:tcBorders>
          </w:tcPr>
          <w:p w:rsidR="007D787A" w:rsidRPr="0008353B" w:rsidRDefault="007D787A" w:rsidP="0008353B">
            <w:pPr>
              <w:pStyle w:val="TAH"/>
              <w:jc w:val="left"/>
              <w:rPr>
                <w:b w:val="0"/>
              </w:rPr>
            </w:pPr>
          </w:p>
        </w:tc>
      </w:tr>
    </w:tbl>
    <w:p w:rsidR="00126477" w:rsidRPr="00126477" w:rsidRDefault="0008353B" w:rsidP="0008353B">
      <w:pPr>
        <w:spacing w:beforeLines="50" w:before="120"/>
        <w:jc w:val="both"/>
      </w:pPr>
      <w:r>
        <w:rPr>
          <w:rFonts w:hint="eastAsia"/>
        </w:rPr>
        <w:t>S</w:t>
      </w:r>
      <w:r>
        <w:t xml:space="preserve">imilarly, as we discussed in section 2.2.2, the supported RB numbers of LP-WUS would have impact on NR coverage if power boosting is declared with power sharing taken into consideration. Thus, </w:t>
      </w:r>
      <w:r w:rsidR="00980ED8">
        <w:t xml:space="preserve">the RB number supporting power boosting for LP-WUS should be declared by the manufacturer. </w:t>
      </w:r>
    </w:p>
    <w:p w:rsidR="00167F84" w:rsidRPr="005369EE" w:rsidRDefault="00167F84" w:rsidP="00D555A5">
      <w:pPr>
        <w:jc w:val="both"/>
        <w:rPr>
          <w:b/>
          <w:i/>
          <w:lang w:val="en-US" w:eastAsia="en-US"/>
        </w:rPr>
      </w:pPr>
      <w:r w:rsidRPr="005369EE">
        <w:rPr>
          <w:b/>
          <w:i/>
          <w:lang w:val="en-US" w:eastAsia="en-US"/>
        </w:rPr>
        <w:t xml:space="preserve">Proposal </w:t>
      </w:r>
      <w:r w:rsidR="00980ED8">
        <w:rPr>
          <w:b/>
          <w:i/>
          <w:lang w:val="en-US" w:eastAsia="en-US"/>
        </w:rPr>
        <w:t>2</w:t>
      </w:r>
      <w:r w:rsidRPr="005369EE">
        <w:rPr>
          <w:b/>
          <w:i/>
          <w:lang w:val="en-US" w:eastAsia="en-US"/>
        </w:rPr>
        <w:t>:</w:t>
      </w:r>
      <w:r w:rsidR="00980ED8">
        <w:rPr>
          <w:b/>
          <w:i/>
          <w:lang w:val="en-US" w:eastAsia="en-US"/>
        </w:rPr>
        <w:t xml:space="preserve"> Together with the power boosting level, the RB number of LP-WUS which can support power boosting should be considered as a condition to be declared as well.</w:t>
      </w:r>
    </w:p>
    <w:p w:rsidR="00A33E8E" w:rsidRDefault="00A33E8E" w:rsidP="006272FF">
      <w:pPr>
        <w:pStyle w:val="1"/>
        <w:spacing w:after="240"/>
        <w:jc w:val="both"/>
        <w:rPr>
          <w:rFonts w:eastAsia="宋体"/>
          <w:lang w:eastAsia="zh-CN"/>
        </w:rPr>
      </w:pPr>
      <w:r>
        <w:rPr>
          <w:rFonts w:eastAsia="宋体" w:hint="eastAsia"/>
          <w:lang w:eastAsia="zh-CN"/>
        </w:rPr>
        <w:lastRenderedPageBreak/>
        <w:t>Conclusion</w:t>
      </w:r>
    </w:p>
    <w:p w:rsidR="00FC30F5" w:rsidRDefault="005369EE" w:rsidP="006272FF">
      <w:pPr>
        <w:jc w:val="both"/>
      </w:pPr>
      <w:r>
        <w:t xml:space="preserve">This contribution provides </w:t>
      </w:r>
      <w:r w:rsidR="00980ED8">
        <w:t xml:space="preserve">our further consideration for power booting of LP-WUS upon the study conclusion in Rel-18 SI. To have better coverage as well as acknowledgement of the implementation constraints of legacy </w:t>
      </w:r>
      <w:proofErr w:type="spellStart"/>
      <w:r w:rsidR="00980ED8">
        <w:t>gNB</w:t>
      </w:r>
      <w:proofErr w:type="spellEnd"/>
      <w:r w:rsidR="00980ED8">
        <w:t xml:space="preserve"> for power sharing between LP-WUS and NR signals, we have the following observations and proposals:</w:t>
      </w:r>
    </w:p>
    <w:p w:rsidR="00980ED8" w:rsidRDefault="00980ED8" w:rsidP="00980ED8">
      <w:pPr>
        <w:spacing w:beforeLines="50" w:before="120" w:after="120"/>
        <w:jc w:val="both"/>
        <w:rPr>
          <w:b/>
          <w:i/>
          <w:lang w:val="en-US" w:eastAsia="en-US"/>
        </w:rPr>
      </w:pPr>
      <w:r w:rsidRPr="006566B7">
        <w:rPr>
          <w:b/>
          <w:i/>
          <w:lang w:val="en-US" w:eastAsia="en-US"/>
        </w:rPr>
        <w:t>Observation</w:t>
      </w:r>
      <w:r>
        <w:rPr>
          <w:b/>
          <w:i/>
          <w:lang w:val="en-US" w:eastAsia="en-US"/>
        </w:rPr>
        <w:t xml:space="preserve"> 1</w:t>
      </w:r>
      <w:r w:rsidRPr="006566B7">
        <w:rPr>
          <w:b/>
          <w:i/>
          <w:lang w:val="en-US" w:eastAsia="en-US"/>
        </w:rPr>
        <w:t xml:space="preserve">: </w:t>
      </w:r>
      <w:r>
        <w:rPr>
          <w:b/>
          <w:i/>
          <w:lang w:val="en-US" w:eastAsia="en-US"/>
        </w:rPr>
        <w:t>Power boosting requirement for NB-IoT is different for different RB frequency positions</w:t>
      </w:r>
      <w:r w:rsidRPr="006566B7">
        <w:rPr>
          <w:b/>
          <w:i/>
          <w:lang w:val="en-US" w:eastAsia="en-US"/>
        </w:rPr>
        <w:t>.</w:t>
      </w:r>
    </w:p>
    <w:p w:rsidR="00980ED8" w:rsidRDefault="00980ED8" w:rsidP="00980ED8">
      <w:pPr>
        <w:spacing w:beforeLines="50" w:before="120" w:after="120"/>
        <w:jc w:val="both"/>
        <w:rPr>
          <w:b/>
          <w:i/>
          <w:lang w:val="en-US" w:eastAsia="en-US"/>
        </w:rPr>
      </w:pPr>
      <w:r w:rsidRPr="006566B7">
        <w:rPr>
          <w:b/>
          <w:i/>
          <w:lang w:val="en-US" w:eastAsia="en-US"/>
        </w:rPr>
        <w:t>Observation</w:t>
      </w:r>
      <w:r>
        <w:rPr>
          <w:b/>
          <w:i/>
          <w:lang w:val="en-US" w:eastAsia="en-US"/>
        </w:rPr>
        <w:t xml:space="preserve"> 2</w:t>
      </w:r>
      <w:r w:rsidRPr="006566B7">
        <w:rPr>
          <w:b/>
          <w:i/>
          <w:lang w:val="en-US" w:eastAsia="en-US"/>
        </w:rPr>
        <w:t xml:space="preserve">: </w:t>
      </w:r>
      <w:r>
        <w:rPr>
          <w:b/>
          <w:i/>
          <w:lang w:val="en-US" w:eastAsia="en-US"/>
        </w:rPr>
        <w:t>There is no fixed RB numbers for NB-IoT for in-band operation like LP-WUS, which occupies 5MHz BW no matter whether all RBs for LP-WUS are scheduled</w:t>
      </w:r>
      <w:r w:rsidRPr="006566B7">
        <w:rPr>
          <w:b/>
          <w:i/>
          <w:lang w:val="en-US" w:eastAsia="en-US"/>
        </w:rPr>
        <w:t>.</w:t>
      </w:r>
    </w:p>
    <w:p w:rsidR="00980ED8" w:rsidRPr="006566B7" w:rsidRDefault="00980ED8" w:rsidP="00980ED8">
      <w:pPr>
        <w:spacing w:beforeLines="50" w:before="120" w:after="120"/>
        <w:jc w:val="both"/>
        <w:rPr>
          <w:b/>
          <w:i/>
          <w:lang w:val="en-US" w:eastAsia="en-US"/>
        </w:rPr>
      </w:pPr>
      <w:r w:rsidRPr="006566B7">
        <w:rPr>
          <w:b/>
          <w:i/>
          <w:lang w:val="en-US" w:eastAsia="en-US"/>
        </w:rPr>
        <w:t>Observation</w:t>
      </w:r>
      <w:r>
        <w:rPr>
          <w:b/>
          <w:i/>
          <w:lang w:val="en-US" w:eastAsia="en-US"/>
        </w:rPr>
        <w:t xml:space="preserve"> 3</w:t>
      </w:r>
      <w:r w:rsidRPr="006566B7">
        <w:rPr>
          <w:b/>
          <w:i/>
          <w:lang w:val="en-US" w:eastAsia="en-US"/>
        </w:rPr>
        <w:t xml:space="preserve">: Since power is shared between LP-WUS and NR signals, the power boosting of LP-WUS may have impact </w:t>
      </w:r>
      <w:r w:rsidR="004C06F5">
        <w:rPr>
          <w:b/>
          <w:i/>
          <w:lang w:val="en-US" w:eastAsia="en-US"/>
        </w:rPr>
        <w:t>on</w:t>
      </w:r>
      <w:r w:rsidRPr="006566B7">
        <w:rPr>
          <w:b/>
          <w:i/>
          <w:lang w:val="en-US" w:eastAsia="en-US"/>
        </w:rPr>
        <w:t xml:space="preserve"> the NR coverage.</w:t>
      </w:r>
    </w:p>
    <w:p w:rsidR="00980ED8" w:rsidRPr="005369EE" w:rsidRDefault="00980ED8" w:rsidP="00980ED8">
      <w:pPr>
        <w:jc w:val="both"/>
        <w:rPr>
          <w:b/>
          <w:i/>
          <w:lang w:val="en-US" w:eastAsia="en-US"/>
        </w:rPr>
      </w:pPr>
      <w:r w:rsidRPr="005369EE">
        <w:rPr>
          <w:b/>
          <w:i/>
          <w:lang w:val="en-US" w:eastAsia="en-US"/>
        </w:rPr>
        <w:t>Proposal 1:</w:t>
      </w:r>
      <w:r>
        <w:rPr>
          <w:b/>
          <w:i/>
          <w:lang w:val="en-US" w:eastAsia="en-US"/>
        </w:rPr>
        <w:t xml:space="preserve"> It is proposed to consider 3dB power boosting as minimum requirement, and cap the boosting level to max 6dB. Whether the BS can support power boosting depends on manufacturer’s declaration. </w:t>
      </w:r>
      <w:r w:rsidRPr="00B77305">
        <w:rPr>
          <w:b/>
          <w:i/>
          <w:lang w:val="en-US" w:eastAsia="en-US"/>
        </w:rPr>
        <w:t>FFS whether the boosting relies on the position of LP-WUS RB allocation</w:t>
      </w:r>
      <w:r>
        <w:rPr>
          <w:b/>
          <w:i/>
          <w:lang w:val="en-US" w:eastAsia="en-US"/>
        </w:rPr>
        <w:t>.</w:t>
      </w:r>
    </w:p>
    <w:p w:rsidR="00980ED8" w:rsidRPr="005369EE" w:rsidRDefault="00980ED8" w:rsidP="00980ED8">
      <w:pPr>
        <w:jc w:val="both"/>
        <w:rPr>
          <w:b/>
          <w:i/>
          <w:lang w:val="en-US" w:eastAsia="en-US"/>
        </w:rPr>
      </w:pPr>
      <w:r w:rsidRPr="005369EE">
        <w:rPr>
          <w:b/>
          <w:i/>
          <w:lang w:val="en-US" w:eastAsia="en-US"/>
        </w:rPr>
        <w:t xml:space="preserve">Proposal </w:t>
      </w:r>
      <w:r>
        <w:rPr>
          <w:b/>
          <w:i/>
          <w:lang w:val="en-US" w:eastAsia="en-US"/>
        </w:rPr>
        <w:t>2</w:t>
      </w:r>
      <w:r w:rsidRPr="005369EE">
        <w:rPr>
          <w:b/>
          <w:i/>
          <w:lang w:val="en-US" w:eastAsia="en-US"/>
        </w:rPr>
        <w:t>:</w:t>
      </w:r>
      <w:r>
        <w:rPr>
          <w:b/>
          <w:i/>
          <w:lang w:val="en-US" w:eastAsia="en-US"/>
        </w:rPr>
        <w:t xml:space="preserve"> Together with the power boosting level, the RB number of LP-WUS which can support power boosting should be considered as a condition to be declared as well.</w:t>
      </w:r>
    </w:p>
    <w:p w:rsidR="00980ED8" w:rsidRDefault="00980ED8" w:rsidP="00980ED8">
      <w:pPr>
        <w:spacing w:beforeLines="50" w:before="120" w:after="120"/>
        <w:jc w:val="both"/>
        <w:rPr>
          <w:b/>
          <w:i/>
          <w:lang w:val="en-US" w:eastAsia="en-US"/>
        </w:rPr>
      </w:pPr>
    </w:p>
    <w:p w:rsidR="00B22DA6" w:rsidRDefault="00B22DA6" w:rsidP="006272FF">
      <w:pPr>
        <w:pStyle w:val="1"/>
        <w:numPr>
          <w:ilvl w:val="0"/>
          <w:numId w:val="0"/>
        </w:numPr>
        <w:jc w:val="both"/>
        <w:rPr>
          <w:rFonts w:eastAsia="宋体"/>
          <w:lang w:eastAsia="zh-CN"/>
        </w:rPr>
      </w:pPr>
      <w:r>
        <w:t>References</w:t>
      </w:r>
    </w:p>
    <w:p w:rsidR="00C53757" w:rsidRDefault="0035262B" w:rsidP="006272FF">
      <w:pPr>
        <w:jc w:val="both"/>
        <w:rPr>
          <w:lang w:eastAsia="ja-JP"/>
        </w:rPr>
      </w:pPr>
      <w:r>
        <w:rPr>
          <w:rFonts w:hint="eastAsia"/>
        </w:rPr>
        <w:t>[1]</w:t>
      </w:r>
      <w:r w:rsidR="005369EE">
        <w:t xml:space="preserve"> </w:t>
      </w:r>
      <w:r w:rsidR="0047205C" w:rsidRPr="0047205C">
        <w:rPr>
          <w:lang w:eastAsia="ja-JP"/>
        </w:rPr>
        <w:t>RP-240801</w:t>
      </w:r>
      <w:r w:rsidR="001765E9">
        <w:rPr>
          <w:lang w:eastAsia="ja-JP"/>
        </w:rPr>
        <w:t>,</w:t>
      </w:r>
      <w:r w:rsidR="001765E9" w:rsidRPr="001765E9">
        <w:rPr>
          <w:lang w:eastAsia="ja-JP"/>
        </w:rPr>
        <w:t xml:space="preserve"> </w:t>
      </w:r>
      <w:r w:rsidR="0047205C" w:rsidRPr="0047205C">
        <w:rPr>
          <w:lang w:eastAsia="ja-JP"/>
        </w:rPr>
        <w:t>Revised WID: Low-power wake-up signal and receiver for NR (LP-WUS/WUR)</w:t>
      </w:r>
      <w:r w:rsidR="001765E9">
        <w:rPr>
          <w:lang w:eastAsia="ja-JP"/>
        </w:rPr>
        <w:t xml:space="preserve">, </w:t>
      </w:r>
      <w:r w:rsidR="0047205C" w:rsidRPr="0047205C">
        <w:rPr>
          <w:lang w:eastAsia="ja-JP"/>
        </w:rPr>
        <w:t>vivo, NTT DOCOMO, Ericsson, MediaTek, Samsung, Sony</w:t>
      </w:r>
    </w:p>
    <w:p w:rsidR="0091108A" w:rsidRDefault="0091108A" w:rsidP="006272FF">
      <w:pPr>
        <w:jc w:val="both"/>
      </w:pPr>
      <w:r>
        <w:rPr>
          <w:rFonts w:eastAsiaTheme="minorEastAsia" w:hint="eastAsia"/>
        </w:rPr>
        <w:t>[</w:t>
      </w:r>
      <w:r>
        <w:rPr>
          <w:rFonts w:eastAsiaTheme="minorEastAsia"/>
        </w:rPr>
        <w:t xml:space="preserve">2] TR 38.869, </w:t>
      </w:r>
      <w:r w:rsidRPr="009A69F4">
        <w:t>Study on low-power wake up signal and receiver for NR</w:t>
      </w:r>
    </w:p>
    <w:p w:rsidR="00B77305" w:rsidRPr="0091108A" w:rsidRDefault="00B77305" w:rsidP="006272FF">
      <w:pPr>
        <w:jc w:val="both"/>
        <w:rPr>
          <w:rFonts w:eastAsiaTheme="minorEastAsia"/>
        </w:rPr>
      </w:pPr>
      <w:r>
        <w:rPr>
          <w:rFonts w:eastAsiaTheme="minorEastAsia" w:hint="eastAsia"/>
        </w:rPr>
        <w:t>[</w:t>
      </w:r>
      <w:r>
        <w:rPr>
          <w:rFonts w:eastAsiaTheme="minorEastAsia"/>
        </w:rPr>
        <w:t>3] TS 38.141-1</w:t>
      </w:r>
    </w:p>
    <w:sectPr w:rsidR="00B77305" w:rsidRPr="0091108A" w:rsidSect="00AD2E43">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7A37" w:rsidRDefault="00907A37" w:rsidP="0052762B">
      <w:r>
        <w:separator/>
      </w:r>
    </w:p>
  </w:endnote>
  <w:endnote w:type="continuationSeparator" w:id="0">
    <w:p w:rsidR="00907A37" w:rsidRDefault="00907A37"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variable"/>
    <w:sig w:usb0="00000000" w:usb1="08070000" w:usb2="00000010" w:usb3="00000000" w:csb0="00020093" w:csb1="00000000"/>
  </w:font>
  <w:font w:name="Arial Unicode MS">
    <w:altName w:val="HGMaruGothicMPRO"/>
    <w:panose1 w:val="020B0604020202020204"/>
    <w:charset w:val="86"/>
    <w:family w:val="swiss"/>
    <w:pitch w:val="variable"/>
    <w:sig w:usb0="F7FFAFFF" w:usb1="E9DFFFFF" w:usb2="0000003F" w:usb3="00000000" w:csb0="003F01FF" w:csb1="00000000"/>
  </w:font>
  <w:font w:name="v5.0.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7A37" w:rsidRDefault="00907A37" w:rsidP="0052762B">
      <w:r>
        <w:separator/>
      </w:r>
    </w:p>
  </w:footnote>
  <w:footnote w:type="continuationSeparator" w:id="0">
    <w:p w:rsidR="00907A37" w:rsidRDefault="00907A37"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84ADF3"/>
    <w:multiLevelType w:val="multilevel"/>
    <w:tmpl w:val="47F4C2FE"/>
    <w:lvl w:ilvl="0">
      <w:start w:val="1"/>
      <w:numFmt w:val="bullet"/>
      <w:lvlText w:val=""/>
      <w:lvlJc w:val="left"/>
      <w:pPr>
        <w:tabs>
          <w:tab w:val="num" w:pos="720"/>
        </w:tabs>
        <w:ind w:left="720" w:hanging="360"/>
      </w:pPr>
      <w:rPr>
        <w:rFonts w:ascii="Wingdings" w:hAnsi="Wingdings" w:hint="default"/>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Times New Roman" w:eastAsia="Times New Roman" w:hAnsi="Times New Roman" w:cs="Times New Roman"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7"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FA4069"/>
    <w:multiLevelType w:val="hybridMultilevel"/>
    <w:tmpl w:val="68481850"/>
    <w:lvl w:ilvl="0" w:tplc="F644426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7"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2FA5B80"/>
    <w:multiLevelType w:val="hybridMultilevel"/>
    <w:tmpl w:val="14B0F1F2"/>
    <w:lvl w:ilvl="0" w:tplc="F6444268">
      <w:start w:val="1"/>
      <w:numFmt w:val="bullet"/>
      <w:lvlText w:val="•"/>
      <w:lvlJc w:val="left"/>
      <w:pPr>
        <w:ind w:left="420" w:hanging="420"/>
      </w:pPr>
      <w:rPr>
        <w:rFonts w:ascii="Arial" w:hAnsi="Arial" w:hint="default"/>
      </w:rPr>
    </w:lvl>
    <w:lvl w:ilvl="1" w:tplc="89948328">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40"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3"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5"/>
  </w:num>
  <w:num w:numId="3">
    <w:abstractNumId w:val="30"/>
  </w:num>
  <w:num w:numId="4">
    <w:abstractNumId w:val="42"/>
  </w:num>
  <w:num w:numId="5">
    <w:abstractNumId w:val="2"/>
  </w:num>
  <w:num w:numId="6">
    <w:abstractNumId w:val="41"/>
  </w:num>
  <w:num w:numId="7">
    <w:abstractNumId w:val="20"/>
  </w:num>
  <w:num w:numId="8">
    <w:abstractNumId w:val="33"/>
  </w:num>
  <w:num w:numId="9">
    <w:abstractNumId w:val="44"/>
  </w:num>
  <w:num w:numId="10">
    <w:abstractNumId w:val="14"/>
  </w:num>
  <w:num w:numId="11">
    <w:abstractNumId w:val="9"/>
  </w:num>
  <w:num w:numId="12">
    <w:abstractNumId w:val="5"/>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
  </w:num>
  <w:num w:numId="15">
    <w:abstractNumId w:val="13"/>
  </w:num>
  <w:num w:numId="16">
    <w:abstractNumId w:val="9"/>
  </w:num>
  <w:num w:numId="17">
    <w:abstractNumId w:val="12"/>
  </w:num>
  <w:num w:numId="18">
    <w:abstractNumId w:val="23"/>
  </w:num>
  <w:num w:numId="19">
    <w:abstractNumId w:val="29"/>
  </w:num>
  <w:num w:numId="20">
    <w:abstractNumId w:val="27"/>
  </w:num>
  <w:num w:numId="21">
    <w:abstractNumId w:val="16"/>
  </w:num>
  <w:num w:numId="22">
    <w:abstractNumId w:val="6"/>
  </w:num>
  <w:num w:numId="23">
    <w:abstractNumId w:val="26"/>
  </w:num>
  <w:num w:numId="24">
    <w:abstractNumId w:val="40"/>
  </w:num>
  <w:num w:numId="25">
    <w:abstractNumId w:val="9"/>
  </w:num>
  <w:num w:numId="26">
    <w:abstractNumId w:val="39"/>
  </w:num>
  <w:num w:numId="27">
    <w:abstractNumId w:val="37"/>
  </w:num>
  <w:num w:numId="28">
    <w:abstractNumId w:val="21"/>
  </w:num>
  <w:num w:numId="29">
    <w:abstractNumId w:val="43"/>
  </w:num>
  <w:num w:numId="30">
    <w:abstractNumId w:val="31"/>
  </w:num>
  <w:num w:numId="31">
    <w:abstractNumId w:val="19"/>
  </w:num>
  <w:num w:numId="32">
    <w:abstractNumId w:val="34"/>
  </w:num>
  <w:num w:numId="33">
    <w:abstractNumId w:val="7"/>
  </w:num>
  <w:num w:numId="34">
    <w:abstractNumId w:val="11"/>
  </w:num>
  <w:num w:numId="35">
    <w:abstractNumId w:val="35"/>
  </w:num>
  <w:num w:numId="36">
    <w:abstractNumId w:val="22"/>
  </w:num>
  <w:num w:numId="37">
    <w:abstractNumId w:val="8"/>
  </w:num>
  <w:num w:numId="38">
    <w:abstractNumId w:val="32"/>
  </w:num>
  <w:num w:numId="39">
    <w:abstractNumId w:val="4"/>
  </w:num>
  <w:num w:numId="40">
    <w:abstractNumId w:val="28"/>
  </w:num>
  <w:num w:numId="41">
    <w:abstractNumId w:val="17"/>
  </w:num>
  <w:num w:numId="42">
    <w:abstractNumId w:val="15"/>
  </w:num>
  <w:num w:numId="43">
    <w:abstractNumId w:val="24"/>
  </w:num>
  <w:num w:numId="44">
    <w:abstractNumId w:val="36"/>
  </w:num>
  <w:num w:numId="45">
    <w:abstractNumId w:val="0"/>
  </w:num>
  <w:num w:numId="46">
    <w:abstractNumId w:val="10"/>
  </w:num>
  <w:num w:numId="47">
    <w:abstractNumId w:val="18"/>
  </w:num>
  <w:num w:numId="48">
    <w:abstractNumId w:val="3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6FC"/>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0DA4"/>
    <w:rsid w:val="000417B5"/>
    <w:rsid w:val="00041AF5"/>
    <w:rsid w:val="0004270D"/>
    <w:rsid w:val="000431DE"/>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1FC"/>
    <w:rsid w:val="00081D13"/>
    <w:rsid w:val="00082230"/>
    <w:rsid w:val="0008266E"/>
    <w:rsid w:val="000826DC"/>
    <w:rsid w:val="0008285B"/>
    <w:rsid w:val="000834ED"/>
    <w:rsid w:val="0008353B"/>
    <w:rsid w:val="00085AC1"/>
    <w:rsid w:val="00085B28"/>
    <w:rsid w:val="00085C18"/>
    <w:rsid w:val="000860C0"/>
    <w:rsid w:val="0008727B"/>
    <w:rsid w:val="0008742B"/>
    <w:rsid w:val="00087D25"/>
    <w:rsid w:val="0009044A"/>
    <w:rsid w:val="00090604"/>
    <w:rsid w:val="000906DD"/>
    <w:rsid w:val="00090C45"/>
    <w:rsid w:val="000912B9"/>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6FD"/>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EB8"/>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4C1"/>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894"/>
    <w:rsid w:val="001059E2"/>
    <w:rsid w:val="00105D85"/>
    <w:rsid w:val="00105FAF"/>
    <w:rsid w:val="0010684E"/>
    <w:rsid w:val="001068E4"/>
    <w:rsid w:val="00106A89"/>
    <w:rsid w:val="00106C43"/>
    <w:rsid w:val="001076AC"/>
    <w:rsid w:val="00111828"/>
    <w:rsid w:val="0011274D"/>
    <w:rsid w:val="0011282B"/>
    <w:rsid w:val="00112969"/>
    <w:rsid w:val="00112D66"/>
    <w:rsid w:val="00112DDC"/>
    <w:rsid w:val="00114108"/>
    <w:rsid w:val="001145CD"/>
    <w:rsid w:val="00114764"/>
    <w:rsid w:val="00114803"/>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477"/>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5E9"/>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3CB"/>
    <w:rsid w:val="001874A3"/>
    <w:rsid w:val="001878F6"/>
    <w:rsid w:val="001879F5"/>
    <w:rsid w:val="00187B6A"/>
    <w:rsid w:val="00190C7D"/>
    <w:rsid w:val="001913A3"/>
    <w:rsid w:val="001929A8"/>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1B01"/>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AE1"/>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9A4"/>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3CC9"/>
    <w:rsid w:val="003340DC"/>
    <w:rsid w:val="003343B0"/>
    <w:rsid w:val="003348A3"/>
    <w:rsid w:val="0033529C"/>
    <w:rsid w:val="00335F81"/>
    <w:rsid w:val="0033686C"/>
    <w:rsid w:val="00336F59"/>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05BF"/>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4E5D"/>
    <w:rsid w:val="003C5C76"/>
    <w:rsid w:val="003C6879"/>
    <w:rsid w:val="003C6E8A"/>
    <w:rsid w:val="003C7296"/>
    <w:rsid w:val="003C7437"/>
    <w:rsid w:val="003D00E9"/>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5C7"/>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3891"/>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05C"/>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EC4"/>
    <w:rsid w:val="004B2F3B"/>
    <w:rsid w:val="004B34BD"/>
    <w:rsid w:val="004B3D89"/>
    <w:rsid w:val="004B412D"/>
    <w:rsid w:val="004B4691"/>
    <w:rsid w:val="004B4833"/>
    <w:rsid w:val="004B5067"/>
    <w:rsid w:val="004B5CEE"/>
    <w:rsid w:val="004B5E9B"/>
    <w:rsid w:val="004B68BB"/>
    <w:rsid w:val="004B73EB"/>
    <w:rsid w:val="004B783F"/>
    <w:rsid w:val="004C0623"/>
    <w:rsid w:val="004C06F5"/>
    <w:rsid w:val="004C0A9C"/>
    <w:rsid w:val="004C1003"/>
    <w:rsid w:val="004C19DF"/>
    <w:rsid w:val="004C1B00"/>
    <w:rsid w:val="004C1E28"/>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2CC"/>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6B"/>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5EFB"/>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70C"/>
    <w:rsid w:val="00646925"/>
    <w:rsid w:val="00647397"/>
    <w:rsid w:val="006478F4"/>
    <w:rsid w:val="00647AF3"/>
    <w:rsid w:val="00647CAE"/>
    <w:rsid w:val="006500E4"/>
    <w:rsid w:val="00650700"/>
    <w:rsid w:val="00650731"/>
    <w:rsid w:val="00651140"/>
    <w:rsid w:val="00651465"/>
    <w:rsid w:val="00651DEC"/>
    <w:rsid w:val="00652A0C"/>
    <w:rsid w:val="00653196"/>
    <w:rsid w:val="00653279"/>
    <w:rsid w:val="006535DD"/>
    <w:rsid w:val="006550A4"/>
    <w:rsid w:val="0065515B"/>
    <w:rsid w:val="006551B4"/>
    <w:rsid w:val="00655AA9"/>
    <w:rsid w:val="00656666"/>
    <w:rsid w:val="006566B7"/>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B00"/>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F3"/>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231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D787A"/>
    <w:rsid w:val="007E0487"/>
    <w:rsid w:val="007E051B"/>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07A37"/>
    <w:rsid w:val="00910695"/>
    <w:rsid w:val="0091108A"/>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0ED8"/>
    <w:rsid w:val="009816BB"/>
    <w:rsid w:val="009824C3"/>
    <w:rsid w:val="00982D33"/>
    <w:rsid w:val="009831C4"/>
    <w:rsid w:val="00983585"/>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47B"/>
    <w:rsid w:val="00995CA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3A3"/>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3F38"/>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691"/>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22D"/>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305"/>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2CA"/>
    <w:rsid w:val="00BC763C"/>
    <w:rsid w:val="00BC7B0E"/>
    <w:rsid w:val="00BC7D89"/>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278E9"/>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313"/>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25B"/>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AA1"/>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0E"/>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5A5"/>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677"/>
    <w:rsid w:val="00D819A9"/>
    <w:rsid w:val="00D81BFB"/>
    <w:rsid w:val="00D8230F"/>
    <w:rsid w:val="00D839F0"/>
    <w:rsid w:val="00D83D14"/>
    <w:rsid w:val="00D84F5D"/>
    <w:rsid w:val="00D85402"/>
    <w:rsid w:val="00D8692C"/>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C26"/>
    <w:rsid w:val="00DB6F9E"/>
    <w:rsid w:val="00DB7162"/>
    <w:rsid w:val="00DB7188"/>
    <w:rsid w:val="00DC0799"/>
    <w:rsid w:val="00DC13F1"/>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B43"/>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75B"/>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75"/>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820"/>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AC0"/>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29A9"/>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2D3F"/>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457B1F"/>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bidi="ar-SA"/>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7"/>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10"/>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列出段落1,中等深浅网格 1 - 着色 21,¥¡¡¡¡ì¬º¥¹¥È¶ÎÂä,ÁÐ³ö¶ÎÂä,列表段落1,—ño’i—Ž,¥ê¥¹¥È¶ÎÂä,1st level - Bullet List Paragraph,Lettre d'introduction,Paragrafo elenco,Normal bullet 2,Bullet list,R4_bullets"/>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 字符,列出段落1 字符,中等深浅网格 1 - 着色 21 字符,¥¡¡¡¡ì¬º¥¹¥È¶ÎÂä 字符,ÁÐ³ö¶ÎÂä 字符,列表段落1 字符,—ño’i—Ž 字符,¥ê¥¹¥È¶ÎÂä 字符,1st level - Bullet List Paragraph 字符,Lettre d'introduction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normaltextrun">
    <w:name w:val="normaltextrun"/>
    <w:basedOn w:val="a2"/>
    <w:qFormat/>
    <w:rsid w:val="00FD2D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174964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222023-71DD-4B0C-B003-C29868765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162</TotalTime>
  <Pages>5</Pages>
  <Words>1966</Words>
  <Characters>11210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13150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Huawei_rev</cp:lastModifiedBy>
  <cp:revision>20</cp:revision>
  <cp:lastPrinted>2010-01-07T02:23:00Z</cp:lastPrinted>
  <dcterms:created xsi:type="dcterms:W3CDTF">2024-03-29T04:17:00Z</dcterms:created>
  <dcterms:modified xsi:type="dcterms:W3CDTF">2024-04-08T13:23:00Z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(3)YuyC+OWbcnLrN5eOKw6BDkg6M3JeFL6fP9be7JOJacyzXTBxCRJ/RhsCpqHInGdv6CjxU/NS
ODd0dOYtN2ODzl7zfhpqtYNN405BgKZqgvcrjuD9iKgU/fbGcmHy2rpFfsQKQZ0f2DDBMy5w
VjGAQ4vnO6VJyMcFGCKK/Q+PMRpirZrcNKTH/J1okljKugE6tc5m9AW7L1eVwThlWGFh6K48
qY4x6pjrp52Nt8nUVd</vt:lpwstr>
  </property>
  <property fmtid="{D5CDD505-2E9C-101B-9397-08002B2CF9AE}" pid="15" name="_2015_ms_pID_725343_00">
    <vt:lpwstr>_2015_ms_pID_725343</vt:lpwstr>
  </property>
  <property fmtid="{D5CDD505-2E9C-101B-9397-08002B2CF9AE}" pid="16" name="_2015_ms_pID_7253431">
    <vt:lpwstr>t/8V7sUayFNsgvFO+v6btGYs1hnJ/GLOgxq9Cxkk6k0zP7PKThdG1p
H7YfCWHMR+zYDFKlcFkAB4RsPotDfJb7YvINqCirw11iTFQqWybO/Og5O1BINLKFTmJZQrCI
bj/FeswNxW/kkSBMOCbboZ15+CDM30qM65FG/8Ino0g3nkuwJZtJlJd1S2HwVuDdoBcX1QVK
MkhJn1Q0UcBZO1EwW8+LjQRq2nz8pWv0zj05</vt:lpwstr>
  </property>
  <property fmtid="{D5CDD505-2E9C-101B-9397-08002B2CF9AE}" pid="17" name="_2015_ms_pID_7253431_00">
    <vt:lpwstr>_2015_ms_pID_7253431</vt:lpwstr>
  </property>
  <property fmtid="{D5CDD505-2E9C-101B-9397-08002B2CF9AE}" pid="18" name="_2015_ms_pID_7253432">
    <vt:lpwstr>ng==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